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spacing w:after="0" w:before="0" w:line="200" w:lineRule="atLeast"/>
        <w:ind w:hanging="0" w:left="0" w:right="-108"/>
        <w:contextualSpacing w:val="false"/>
        <w:jc w:val="center"/>
      </w:pPr>
      <w:r>
        <w:rPr>
          <w:b/>
          <w:bCs/>
        </w:rPr>
        <w:t>OROSZI KÖZSÉG ÖNKORMÁNYZATA KÉPVISELŐ-TESTÜLETÉNEK</w:t>
      </w:r>
    </w:p>
    <w:p>
      <w:pPr>
        <w:pStyle w:val="style18"/>
        <w:spacing w:after="0" w:before="0" w:line="200" w:lineRule="atLeast"/>
        <w:contextualSpacing w:val="false"/>
        <w:jc w:val="center"/>
      </w:pPr>
      <w:r>
        <w:rPr>
          <w:b/>
          <w:szCs w:val="24"/>
        </w:rPr>
      </w:r>
    </w:p>
    <w:p>
      <w:pPr>
        <w:pStyle w:val="style18"/>
        <w:spacing w:after="0" w:before="0" w:line="200" w:lineRule="atLeast"/>
        <w:contextualSpacing w:val="false"/>
        <w:jc w:val="center"/>
      </w:pPr>
      <w:r>
        <w:rPr>
          <w:b/>
          <w:szCs w:val="24"/>
        </w:rPr>
        <w:t xml:space="preserve">16/2015. (XII.22.) önkormányzati rendelete </w:t>
      </w:r>
    </w:p>
    <w:p>
      <w:pPr>
        <w:pStyle w:val="style0"/>
        <w:spacing w:after="0" w:before="0" w:line="200" w:lineRule="atLeast"/>
        <w:ind w:firstLine="113" w:left="0" w:right="0"/>
        <w:contextualSpacing w:val="false"/>
        <w:jc w:val="center"/>
      </w:pPr>
      <w:r>
        <w:rPr>
          <w:bCs/>
        </w:rPr>
        <w:t xml:space="preserve">a gyermekvédelmi ellátás helyi szabályozásáról  </w:t>
      </w:r>
    </w:p>
    <w:p>
      <w:pPr>
        <w:pStyle w:val="style0"/>
        <w:spacing w:after="0" w:before="0" w:line="200" w:lineRule="atLeast"/>
        <w:ind w:hanging="0" w:left="180" w:right="0"/>
        <w:contextualSpacing w:val="false"/>
      </w:pPr>
      <w:r>
        <w:rPr>
          <w:b/>
          <w:bCs/>
        </w:rPr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/>
        <w:t>Oroszi Község Önkormányzat Képviselő-testülete a gyermekek védelméről és a gyámügyi igazgatásról szóló 1997. évi XXXI. törvény 29. § (1) bekezdésében kapott felhatalmazás alapján, Magyarország helyi önkormányzatairól szóló 2011. évi CLXXXIX. törvény 13. § 8. pontjában meghatározott feladatkörében eljárva a következőket rendeli el: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/>
      </w:r>
    </w:p>
    <w:p>
      <w:pPr>
        <w:pStyle w:val="style1"/>
        <w:numPr>
          <w:ilvl w:val="0"/>
          <w:numId w:val="1"/>
        </w:numPr>
        <w:spacing w:after="0" w:before="0" w:line="200" w:lineRule="atLeast"/>
        <w:contextualSpacing w:val="false"/>
      </w:pPr>
      <w:r>
        <w:rPr>
          <w:u w:val="none"/>
        </w:rPr>
        <w:t>1. A rendelet célja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/>
        <w:t>1. § A rendelet célja, hogy Oroszi Község Önkormányzata meghatározott ellátásokkal és intézkedésekkel segítséget nyújtson a gyermekek törvényben foglalt jogainak és érdekeinek érvényesítéséhez, meghatározza a helyi sajátosságokat figyelembe véve a gyámügyi igazgatásról szóló 1997. évi XXXI. törvényben (a továbbiakban: Gyvt.) szabályozott ellátások feltételrendszereit és eljárásokat.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/>
      </w:r>
    </w:p>
    <w:p>
      <w:pPr>
        <w:pStyle w:val="style1"/>
        <w:numPr>
          <w:ilvl w:val="0"/>
          <w:numId w:val="1"/>
        </w:numPr>
        <w:spacing w:after="0" w:before="0" w:line="200" w:lineRule="atLeast"/>
        <w:contextualSpacing w:val="false"/>
      </w:pPr>
      <w:r>
        <w:rPr>
          <w:u w:val="none"/>
        </w:rPr>
        <w:t>2. A rendelet hatálya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/>
        <w:t xml:space="preserve">2. § A rendelet hatálya kiterjed Oroszi községben lakóhellyel rendelkező állampolgárokra, valamint a Gyvt. 4. §-ában foglalt személyekre.  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/>
      </w:r>
    </w:p>
    <w:p>
      <w:pPr>
        <w:pStyle w:val="style1"/>
        <w:numPr>
          <w:ilvl w:val="0"/>
          <w:numId w:val="1"/>
        </w:numPr>
        <w:autoSpaceDE w:val="false"/>
        <w:spacing w:after="0" w:before="0" w:line="200" w:lineRule="atLeast"/>
        <w:contextualSpacing w:val="false"/>
      </w:pPr>
      <w:r>
        <w:rPr>
          <w:szCs w:val="20"/>
          <w:u w:val="none"/>
        </w:rPr>
        <w:t>3. Ellátások formái</w:t>
      </w:r>
    </w:p>
    <w:p>
      <w:pPr>
        <w:pStyle w:val="style0"/>
        <w:spacing w:after="0" w:before="0" w:line="200" w:lineRule="atLeast"/>
        <w:contextualSpacing w:val="false"/>
      </w:pPr>
      <w:r>
        <w:rPr/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  <w:t xml:space="preserve">3. § </w:t>
      </w:r>
      <w:r>
        <w:rPr/>
        <w:t>A gyermekek védelmét az önkormányzat pénzbeli, természetbeni, illetve személyes gondoskodást nyújtó gyermekjóléti alapellátásokkal biztosítja az alábbiak szerint:</w:t>
      </w:r>
    </w:p>
    <w:p>
      <w:pPr>
        <w:pStyle w:val="style0"/>
        <w:autoSpaceDE w:val="false"/>
        <w:spacing w:after="0" w:before="0" w:line="200" w:lineRule="atLeast"/>
        <w:ind w:firstLine="204" w:left="0" w:right="0"/>
        <w:contextualSpacing w:val="false"/>
        <w:jc w:val="both"/>
      </w:pPr>
      <w:r>
        <w:rPr>
          <w:szCs w:val="20"/>
        </w:rPr>
        <w:t>a) pénzbeli és természetbeni ellátások:</w:t>
      </w:r>
    </w:p>
    <w:p>
      <w:pPr>
        <w:pStyle w:val="style0"/>
        <w:autoSpaceDE w:val="false"/>
        <w:spacing w:after="0" w:before="0" w:line="200" w:lineRule="atLeast"/>
        <w:ind w:firstLine="204" w:left="0" w:right="0"/>
        <w:contextualSpacing w:val="false"/>
        <w:jc w:val="both"/>
      </w:pPr>
      <w:r>
        <w:rPr>
          <w:szCs w:val="20"/>
        </w:rPr>
        <w:t>aa) tankönyvtámogatás,</w:t>
      </w:r>
    </w:p>
    <w:p>
      <w:pPr>
        <w:pStyle w:val="style0"/>
        <w:autoSpaceDE w:val="false"/>
        <w:spacing w:after="0" w:before="0" w:line="200" w:lineRule="atLeast"/>
        <w:ind w:hanging="0" w:left="204" w:right="0"/>
        <w:contextualSpacing w:val="false"/>
        <w:jc w:val="both"/>
      </w:pPr>
      <w:r>
        <w:rPr>
          <w:szCs w:val="20"/>
        </w:rPr>
        <w:t>ab) egyéb ellátás kifizetésének átvállalása.</w:t>
      </w:r>
    </w:p>
    <w:p>
      <w:pPr>
        <w:pStyle w:val="style0"/>
        <w:autoSpaceDE w:val="false"/>
        <w:spacing w:after="0" w:before="0" w:line="200" w:lineRule="atLeast"/>
        <w:ind w:hanging="0" w:left="204" w:right="0"/>
        <w:contextualSpacing w:val="false"/>
        <w:jc w:val="both"/>
      </w:pPr>
      <w:r>
        <w:rPr>
          <w:szCs w:val="20"/>
        </w:rPr>
      </w:r>
    </w:p>
    <w:p>
      <w:pPr>
        <w:pStyle w:val="style0"/>
        <w:autoSpaceDE w:val="false"/>
        <w:spacing w:after="0" w:before="0" w:line="200" w:lineRule="atLeast"/>
        <w:ind w:hanging="355" w:left="559" w:right="0"/>
        <w:contextualSpacing w:val="false"/>
        <w:jc w:val="both"/>
      </w:pPr>
      <w:r>
        <w:rPr>
          <w:szCs w:val="20"/>
        </w:rPr>
        <w:t>b) személyes gondoskodást nyújtó gyermekjóléti alapellátás a gyermekek napközbeni ellátása.</w:t>
      </w:r>
    </w:p>
    <w:p>
      <w:pPr>
        <w:pStyle w:val="style1"/>
        <w:numPr>
          <w:ilvl w:val="0"/>
          <w:numId w:val="1"/>
        </w:numPr>
        <w:autoSpaceDE w:val="false"/>
        <w:spacing w:after="0" w:before="0" w:line="200" w:lineRule="atLeast"/>
        <w:contextualSpacing w:val="false"/>
      </w:pPr>
      <w:r>
        <w:rPr>
          <w:szCs w:val="20"/>
        </w:rPr>
      </w:r>
    </w:p>
    <w:p>
      <w:pPr>
        <w:pStyle w:val="style1"/>
        <w:numPr>
          <w:ilvl w:val="0"/>
          <w:numId w:val="1"/>
        </w:numPr>
        <w:autoSpaceDE w:val="false"/>
        <w:spacing w:after="0" w:before="0" w:line="200" w:lineRule="atLeast"/>
        <w:contextualSpacing w:val="false"/>
      </w:pPr>
      <w:r>
        <w:rPr>
          <w:szCs w:val="20"/>
          <w:u w:val="none"/>
        </w:rPr>
        <w:t>4. Eljárási szabályok</w:t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  <w:t xml:space="preserve">4. § </w:t>
      </w:r>
      <w:r>
        <w:rPr/>
        <w:t>(1) Az e rendeletben szabályozott pénzbeli és természetbeni ellátások megállapítása iránti kérelmet szóban vagy írásban a Devecseri Közös Önkormányzati Hivatal Noszlopi Irodájában terjesztheti elő a szülő vagy más törvényes képviselő. A szóban előterjesztett kérelemről jegyzőkönyvet kell felvenni.</w:t>
      </w:r>
    </w:p>
    <w:p>
      <w:pPr>
        <w:pStyle w:val="style17"/>
        <w:spacing w:after="0" w:before="0" w:line="200" w:lineRule="atLeast"/>
        <w:contextualSpacing w:val="false"/>
      </w:pPr>
      <w:r>
        <w:rPr/>
      </w:r>
    </w:p>
    <w:p>
      <w:pPr>
        <w:pStyle w:val="style17"/>
        <w:spacing w:after="0" w:before="0" w:line="200" w:lineRule="atLeast"/>
        <w:ind w:hanging="0" w:left="0" w:right="14"/>
        <w:contextualSpacing w:val="false"/>
        <w:jc w:val="both"/>
      </w:pPr>
      <w:r>
        <w:rPr/>
        <w:t>(2) Az e rendeletben szabályozott ellátások iránt benyújtott kérelmeknél a támogatásra való jogosultság elbírálásához a kérelmező köteles csatolni a 149/1997. (IX. 10.) Korm. rendelet 65.§-ában meghatározott igazolásokat.</w:t>
      </w:r>
    </w:p>
    <w:p>
      <w:pPr>
        <w:pStyle w:val="style17"/>
        <w:spacing w:after="0" w:before="0" w:line="200" w:lineRule="atLeast"/>
        <w:ind w:hanging="0" w:left="0" w:right="14"/>
        <w:contextualSpacing w:val="false"/>
        <w:jc w:val="both"/>
      </w:pPr>
      <w:r>
        <w:rPr/>
      </w:r>
    </w:p>
    <w:p>
      <w:pPr>
        <w:pStyle w:val="style17"/>
        <w:spacing w:after="0" w:before="0" w:line="200" w:lineRule="atLeast"/>
        <w:ind w:hanging="0" w:left="0" w:right="14"/>
        <w:contextualSpacing w:val="false"/>
        <w:jc w:val="both"/>
      </w:pPr>
      <w:r>
        <w:rPr/>
        <w:t>(3)A jövedelemszámításnál irányadó időszak - ha a Gyvt. másként nem rendelkezik - a szociális igazgatásról és szociális ellátásról szóló 1993. évi III. törvény 10. §-ának (2)-(5) bekezdése szerint kerül megállapításra.</w:t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  <w:t xml:space="preserve">(4) A rendszeres gyermekvédelmi támogatás megállapítása előtt környezettanulmányt kell készíteni. </w:t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</w:r>
    </w:p>
    <w:p>
      <w:pPr>
        <w:pStyle w:val="style1"/>
        <w:numPr>
          <w:ilvl w:val="0"/>
          <w:numId w:val="1"/>
        </w:numPr>
        <w:spacing w:after="0" w:before="0" w:line="200" w:lineRule="atLeast"/>
        <w:contextualSpacing w:val="false"/>
      </w:pPr>
      <w:r>
        <w:rPr>
          <w:u w:val="none"/>
        </w:rPr>
        <w:t>5. Tankönyvtámogatás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/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/>
        <w:t xml:space="preserve">5. § (1) A Képviselő-testület költségvetési rendeletében meghatározott mértékű tankönyvtámogatást állapíthat meg a tanévkezdés segítésére az óvodás, valamint a tanuló gyermekek részére. 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/>
        <w:t>(2) Az általános iskolások részére megállapított támogatást közvetlenül az intézmény részére lehet átadni természetbeni juttatásként.</w:t>
      </w:r>
    </w:p>
    <w:p>
      <w:pPr>
        <w:pStyle w:val="style0"/>
        <w:spacing w:after="0" w:before="0" w:line="200" w:lineRule="atLeast"/>
        <w:contextualSpacing w:val="false"/>
        <w:jc w:val="both"/>
      </w:pPr>
      <w:r>
        <w:rPr/>
        <w:t>(3) A középiskolai és felsőfokú intézményben tanulók részére a tankönyvtámogatás készpénzben kifizethető.</w:t>
      </w:r>
    </w:p>
    <w:p>
      <w:pPr>
        <w:pStyle w:val="style1"/>
        <w:numPr>
          <w:ilvl w:val="0"/>
          <w:numId w:val="1"/>
        </w:numPr>
        <w:autoSpaceDE w:val="false"/>
        <w:spacing w:after="0" w:before="0" w:line="200" w:lineRule="atLeast"/>
        <w:contextualSpacing w:val="false"/>
      </w:pPr>
      <w:r>
        <w:rPr>
          <w:i/>
          <w:iCs/>
          <w:sz w:val="28"/>
          <w:szCs w:val="20"/>
          <w:u w:val="none"/>
        </w:rPr>
      </w:r>
    </w:p>
    <w:p>
      <w:pPr>
        <w:pStyle w:val="style0"/>
        <w:autoSpaceDE w:val="false"/>
        <w:spacing w:after="0" w:before="0" w:line="200" w:lineRule="atLeast"/>
        <w:contextualSpacing w:val="false"/>
        <w:jc w:val="center"/>
      </w:pPr>
      <w:r>
        <w:rPr>
          <w:b/>
          <w:bCs/>
          <w:szCs w:val="20"/>
          <w:u w:val="single"/>
        </w:rPr>
      </w:r>
    </w:p>
    <w:p>
      <w:pPr>
        <w:pStyle w:val="style0"/>
        <w:autoSpaceDE w:val="false"/>
        <w:spacing w:after="0" w:before="0" w:line="200" w:lineRule="atLeast"/>
        <w:contextualSpacing w:val="false"/>
        <w:jc w:val="center"/>
      </w:pPr>
      <w:r>
        <w:rPr>
          <w:b/>
          <w:bCs/>
          <w:szCs w:val="20"/>
        </w:rPr>
        <w:t>6. Egyéb ellátás kifizetésének átvállalása</w:t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  <w:t>6.§ (1) A Képviselő-testület az intézményi ellátásban részesülő gyermek részére a fizetendő térítési díjhoz hozzájárulást adhat az igénybevétel időtartamára, de legfeljebb egy naptári évre.</w:t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  <w:t>(2) A Képviselő-testület átvállalhatja azon gyermekek és kísérőjük útiköltségét, akik fejlesztő foglalkozás érdekében utaznak más településre.</w:t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</w:r>
    </w:p>
    <w:p>
      <w:pPr>
        <w:pStyle w:val="style0"/>
        <w:autoSpaceDE w:val="false"/>
        <w:spacing w:after="0" w:before="0" w:line="200" w:lineRule="atLeast"/>
        <w:ind w:firstLine="204" w:left="0" w:right="0"/>
        <w:contextualSpacing w:val="false"/>
        <w:jc w:val="both"/>
      </w:pPr>
      <w:r>
        <w:rPr>
          <w:rFonts w:cs="Times New Roman" w:eastAsia="Times New Roman"/>
          <w:szCs w:val="20"/>
        </w:rPr>
        <w:t xml:space="preserve"> </w:t>
      </w:r>
    </w:p>
    <w:p>
      <w:pPr>
        <w:pStyle w:val="style1"/>
        <w:numPr>
          <w:ilvl w:val="0"/>
          <w:numId w:val="1"/>
        </w:numPr>
        <w:autoSpaceDE w:val="false"/>
        <w:spacing w:after="0" w:before="0" w:line="200" w:lineRule="atLeast"/>
        <w:contextualSpacing w:val="false"/>
      </w:pPr>
      <w:r>
        <w:rPr>
          <w:szCs w:val="20"/>
          <w:u w:val="none"/>
        </w:rPr>
        <w:t>7. Gyermekek napközbeni ellátása</w:t>
      </w:r>
    </w:p>
    <w:p>
      <w:pPr>
        <w:pStyle w:val="style0"/>
        <w:spacing w:after="0" w:before="0" w:line="200" w:lineRule="atLeast"/>
        <w:contextualSpacing w:val="false"/>
      </w:pPr>
      <w:r>
        <w:rPr/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  <w:t>7. §  (1) Az önkormányzat a gyermekek napközbeni ellátását:</w:t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  <w:t>a) a Klebelsberg Intézményfenntartó Központ fenntartásában lévő Noszlopi Német Nemzetiségi Általános Iskolában,</w:t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  <w:t>b) a Devecseri Köznevelési Intézményfenntartó Társulás fenntartásában lévő Vackor Közös Fenntartású Napköziotthonos Óvoda noszlopi telephelyén</w:t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  <w:t>biztosítja.</w:t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</w:r>
    </w:p>
    <w:p>
      <w:pPr>
        <w:pStyle w:val="style1"/>
        <w:numPr>
          <w:ilvl w:val="0"/>
          <w:numId w:val="1"/>
        </w:numPr>
        <w:autoSpaceDE w:val="false"/>
        <w:spacing w:after="0" w:before="0" w:line="200" w:lineRule="atLeast"/>
        <w:contextualSpacing w:val="false"/>
      </w:pPr>
      <w:r>
        <w:rPr>
          <w:szCs w:val="20"/>
          <w:u w:val="none"/>
        </w:rPr>
        <w:t>8. Térítési díj</w:t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  <w:t>8. §  A gyermekek, tanulók napközbeni ellátása keretében biztosított étkeztetések intézményi térítési díjának mértékét külön rendelet tartalmazza.</w:t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</w:r>
    </w:p>
    <w:p>
      <w:pPr>
        <w:pStyle w:val="style1"/>
        <w:numPr>
          <w:ilvl w:val="0"/>
          <w:numId w:val="1"/>
        </w:numPr>
        <w:autoSpaceDE w:val="false"/>
        <w:spacing w:after="0" w:before="0" w:line="200" w:lineRule="atLeast"/>
        <w:contextualSpacing w:val="false"/>
      </w:pPr>
      <w:r>
        <w:rPr>
          <w:szCs w:val="20"/>
          <w:u w:val="none"/>
        </w:rPr>
        <w:t>9. Záró rendelkezés</w:t>
      </w:r>
    </w:p>
    <w:p>
      <w:pPr>
        <w:pStyle w:val="style0"/>
        <w:spacing w:after="0" w:before="0" w:line="200" w:lineRule="atLeast"/>
        <w:contextualSpacing w:val="false"/>
      </w:pPr>
      <w:r>
        <w:rPr/>
      </w:r>
    </w:p>
    <w:p>
      <w:pPr>
        <w:pStyle w:val="style0"/>
        <w:autoSpaceDE w:val="false"/>
        <w:spacing w:after="0" w:before="0" w:line="200" w:lineRule="atLeast"/>
        <w:contextualSpacing w:val="false"/>
      </w:pPr>
      <w:r>
        <w:rPr>
          <w:szCs w:val="20"/>
        </w:rPr>
        <w:t>9. § (1) Ez a rendelet 2016. január 1. napján lép hatályba.</w:t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  <w:t>(2) Hatályát veszti a gyermekvédelem helyi szabályozásáról szóló 4/2004. (IV.1.) önkormányzati rendelet.</w:t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</w:r>
    </w:p>
    <w:p>
      <w:pPr>
        <w:pStyle w:val="style0"/>
        <w:autoSpaceDE w:val="false"/>
        <w:spacing w:after="0" w:before="0" w:line="200" w:lineRule="atLeast"/>
        <w:contextualSpacing w:val="false"/>
        <w:jc w:val="both"/>
      </w:pPr>
      <w:r>
        <w:rPr>
          <w:szCs w:val="20"/>
        </w:rPr>
      </w:r>
    </w:p>
    <w:p>
      <w:pPr>
        <w:pStyle w:val="style21"/>
        <w:spacing w:after="0" w:before="0" w:line="200" w:lineRule="atLeast"/>
        <w:ind w:firstLine="709" w:left="0" w:right="0"/>
        <w:contextualSpacing w:val="false"/>
      </w:pPr>
      <w:r>
        <w:rPr>
          <w:b/>
          <w:bCs/>
        </w:rPr>
        <w:t>Dániel Ferenc</w:t>
        <w:tab/>
        <w:tab/>
        <w:tab/>
        <w:tab/>
        <w:tab/>
        <w:tab/>
        <w:t xml:space="preserve">                         Bendes István</w:t>
      </w:r>
    </w:p>
    <w:p>
      <w:pPr>
        <w:pStyle w:val="style21"/>
        <w:spacing w:after="0" w:before="0" w:line="200" w:lineRule="atLeast"/>
        <w:ind w:firstLine="709" w:left="0" w:right="0"/>
        <w:contextualSpacing w:val="false"/>
      </w:pPr>
      <w:r>
        <w:rPr>
          <w:rFonts w:cs="Times New Roman" w:eastAsia="Times New Roman"/>
        </w:rPr>
        <w:t xml:space="preserve"> </w:t>
      </w:r>
      <w:r>
        <w:rPr/>
        <w:t>polgármester</w:t>
        <w:tab/>
        <w:tab/>
        <w:tab/>
        <w:tab/>
        <w:tab/>
        <w:tab/>
        <w:tab/>
        <w:t xml:space="preserve">                                jegyző</w:t>
      </w:r>
    </w:p>
    <w:sectPr>
      <w:headerReference r:id="rId2" w:type="default"/>
      <w:footerReference r:id="rId3" w:type="default"/>
      <w:type w:val="nextPage"/>
      <w:pgSz w:h="16838" w:w="11906"/>
      <w:pgMar w:bottom="1247" w:footer="720" w:gutter="0" w:header="720" w:left="1417" w:right="1415" w:top="124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jc w:val="center"/>
      <w:outlineLvl w:val="0"/>
    </w:pPr>
    <w:rPr>
      <w:rFonts w:ascii="TimesNewRoman;Bold" w:cs="TimesNewRoman;Bold" w:hAnsi="TimesNewRoman;Bold"/>
      <w:b/>
    </w:rPr>
  </w:style>
  <w:style w:styleId="style15" w:type="character">
    <w:name w:val="Absatz-Standardschriftart"/>
    <w:next w:val="style15"/>
    <w:rPr/>
  </w:style>
  <w:style w:styleId="style16" w:type="paragraph">
    <w:name w:val="Címsor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Szövegtörzs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Felirat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Tárgymutató"/>
    <w:basedOn w:val="style0"/>
    <w:next w:val="style20"/>
    <w:pPr>
      <w:suppressLineNumbers/>
    </w:pPr>
    <w:rPr>
      <w:rFonts w:cs="Mangal"/>
    </w:rPr>
  </w:style>
  <w:style w:styleId="style21" w:type="paragraph">
    <w:name w:val="Normál (Web)"/>
    <w:basedOn w:val="style0"/>
    <w:next w:val="style21"/>
    <w:pPr>
      <w:spacing w:after="280" w:before="280"/>
      <w:contextualSpacing w:val="false"/>
    </w:pPr>
    <w:rPr/>
  </w:style>
  <w:style w:styleId="style22" w:type="paragraph">
    <w:name w:val="Élőláb"/>
    <w:basedOn w:val="style0"/>
    <w:next w:val="style22"/>
    <w:pPr>
      <w:suppressLineNumbers/>
      <w:tabs>
        <w:tab w:leader="none" w:pos="4819" w:val="center"/>
        <w:tab w:leader="none" w:pos="9638" w:val="right"/>
      </w:tabs>
    </w:pPr>
    <w:rPr/>
  </w:style>
  <w:style w:styleId="style23" w:type="paragraph">
    <w:name w:val="Élőfej"/>
    <w:basedOn w:val="style0"/>
    <w:next w:val="style23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2015-12-18T11:35:09.00Z</dcterms:created>
  <cp:revision>0</cp:revision>
</cp:coreProperties>
</file>