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-41275</wp:posOffset>
            </wp:positionV>
            <wp:extent cx="687070" cy="76708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6708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>OROSZI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KÖZSÉG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2018.</w:t>
      </w:r>
      <w:r>
        <w:rPr>
          <w:rFonts w:eastAsia="Times New Roman" w:cs="Times New Roman"/>
          <w:b/>
        </w:rPr>
        <w:t xml:space="preserve"> augusztus 8-án (szerdán) 16,00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"/>
        <w:spacing w:lineRule="exact" w:line="18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708" w:leader="none"/>
          <w:tab w:val="left" w:pos="6480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57" w:hanging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A települési önkormányzatok sz</w:t>
            </w:r>
            <w:r>
              <w:rPr>
                <w:sz w:val="24"/>
                <w:szCs w:val="24"/>
              </w:rPr>
              <w:t>ociális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célú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tüzelőanyag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vásárláshoz kapcsolódó támogatásra pályázat benyújtása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2018.</w:t>
      </w:r>
      <w:r>
        <w:rPr>
          <w:rFonts w:eastAsia="Times New Roman" w:cs="Times New Roman"/>
        </w:rPr>
        <w:t xml:space="preserve"> augusztus 3.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2018-05-23T11:11:00Z</cp:lastPrinted>
  <dcterms:modified xsi:type="dcterms:W3CDTF">2018-08-07T10:58:01Z</dcterms:modified>
  <cp:revision>13</cp:revision>
  <dc:subject/>
  <dc:title/>
</cp:coreProperties>
</file>