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3"/>
        <w:spacing w:line="240" w:lineRule="atLeast"/>
        <w:ind w:end="0" w:hanging="0" w:start="0"/>
        <w:jc w:val="center"/>
      </w:pPr>
      <w:r>
        <w:rPr>
          <w:b/>
          <w:spacing w:val="-8"/>
          <w:sz w:val="22"/>
          <w:szCs w:val="22"/>
        </w:rPr>
        <w:t>OROSZI KÖZSÉG ÖNKORMÁNYZATA</w:t>
      </w:r>
    </w:p>
    <w:p>
      <w:pPr>
        <w:pStyle w:val="style53"/>
        <w:spacing w:line="240" w:lineRule="atLeast"/>
        <w:ind w:end="0" w:hanging="284" w:start="284"/>
        <w:jc w:val="center"/>
      </w:pPr>
      <w:r>
        <w:rPr>
          <w:b/>
          <w:sz w:val="22"/>
          <w:szCs w:val="22"/>
        </w:rPr>
        <w:t>KÉPVISELŐ-TESTÜLETÉNEK</w:t>
      </w:r>
    </w:p>
    <w:p>
      <w:pPr>
        <w:pStyle w:val="style53"/>
        <w:ind w:end="0" w:hanging="0" w:start="0"/>
        <w:jc w:val="center"/>
      </w:pPr>
      <w:r>
        <w:rPr>
          <w:b/>
          <w:sz w:val="24"/>
          <w:szCs w:val="24"/>
        </w:rPr>
        <w:t>1/2015. (II. 16.) önkormányzati rendelete</w:t>
      </w:r>
    </w:p>
    <w:p>
      <w:pPr>
        <w:pStyle w:val="style53"/>
        <w:ind w:end="0" w:hanging="0" w:start="0"/>
        <w:jc w:val="center"/>
      </w:pPr>
      <w:r>
        <w:rPr>
          <w:b/>
          <w:sz w:val="24"/>
          <w:szCs w:val="24"/>
        </w:rPr>
        <w:t>Oroszi Község Önkormányzata 2015. évi költségvetéséről</w:t>
      </w:r>
    </w:p>
    <w:p>
      <w:pPr>
        <w:pStyle w:val="style53"/>
        <w:ind w:end="0" w:hanging="0" w:start="0"/>
        <w:jc w:val="both"/>
      </w:pPr>
      <w:r>
        <w:rPr>
          <w:b/>
          <w:sz w:val="24"/>
          <w:szCs w:val="24"/>
        </w:rPr>
      </w:r>
    </w:p>
    <w:p>
      <w:pPr>
        <w:pStyle w:val="style53"/>
        <w:ind w:end="0" w:hanging="0" w:start="0"/>
        <w:jc w:val="both"/>
      </w:pPr>
      <w:r>
        <w:rPr>
          <w:b/>
          <w:sz w:val="24"/>
          <w:szCs w:val="24"/>
        </w:rPr>
      </w:r>
    </w:p>
    <w:p>
      <w:pPr>
        <w:pStyle w:val="style53"/>
        <w:ind w:end="0" w:hanging="0" w:start="0"/>
        <w:jc w:val="both"/>
      </w:pPr>
      <w:r>
        <w:rPr>
          <w:sz w:val="24"/>
          <w:szCs w:val="24"/>
        </w:rPr>
      </w:r>
    </w:p>
    <w:p>
      <w:pPr>
        <w:pStyle w:val="style60"/>
      </w:pPr>
      <w:r>
        <w:rPr>
          <w:szCs w:val="24"/>
        </w:rPr>
        <w:t>Oroszi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>
      <w:pPr>
        <w:pStyle w:val="style0"/>
        <w:jc w:val="both"/>
      </w:pPr>
      <w:r>
        <w:rPr/>
      </w:r>
    </w:p>
    <w:p>
      <w:pPr>
        <w:pStyle w:val="style53"/>
        <w:spacing w:line="360" w:lineRule="auto"/>
        <w:ind w:end="0" w:hanging="0" w:start="0"/>
        <w:jc w:val="center"/>
      </w:pPr>
      <w:r>
        <w:rPr>
          <w:b/>
          <w:sz w:val="24"/>
          <w:szCs w:val="24"/>
        </w:rPr>
        <w:t>1. Általános rendelkezések</w:t>
      </w:r>
    </w:p>
    <w:p>
      <w:pPr>
        <w:pStyle w:val="style53"/>
        <w:ind w:end="0" w:hanging="0" w:start="0"/>
        <w:jc w:val="both"/>
      </w:pPr>
      <w:r>
        <w:rPr>
          <w:sz w:val="24"/>
          <w:szCs w:val="24"/>
        </w:rPr>
      </w:r>
    </w:p>
    <w:p>
      <w:pPr>
        <w:pStyle w:val="style53"/>
        <w:ind w:end="0" w:hanging="0" w:start="0"/>
        <w:jc w:val="both"/>
      </w:pPr>
      <w:r>
        <w:rPr>
          <w:sz w:val="24"/>
          <w:szCs w:val="24"/>
        </w:rPr>
        <w:t xml:space="preserve">1. § (1) A rendelet hatálya kiterjed Oroszi Község Önkormányzata Képviselő-testületére. </w:t>
      </w:r>
    </w:p>
    <w:p>
      <w:pPr>
        <w:pStyle w:val="style53"/>
        <w:ind w:end="0" w:hanging="0" w:start="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/>
        <w:t>(2) A rendeletben foglaltak végrehajtását az önkormányzat képviselő-testülete, polgármestere, jegyzője a gazdálkodás folyamatainak belső ellenőrzésével ellenőrzi.</w:t>
      </w:r>
    </w:p>
    <w:p>
      <w:pPr>
        <w:pStyle w:val="style0"/>
        <w:jc w:val="both"/>
      </w:pPr>
      <w:r>
        <w:rPr/>
      </w:r>
    </w:p>
    <w:p>
      <w:pPr>
        <w:pStyle w:val="style4"/>
        <w:numPr>
          <w:ilvl w:val="3"/>
          <w:numId w:val="1"/>
        </w:numPr>
        <w:spacing w:after="0" w:before="0" w:line="360" w:lineRule="auto"/>
        <w:contextualSpacing w:val="false"/>
        <w:jc w:val="center"/>
      </w:pPr>
      <w:r>
        <w:rPr>
          <w:i w:val="false"/>
          <w:szCs w:val="24"/>
        </w:rPr>
        <w:t>2. A költségvetés bevételeinek és kiadásainak főösszege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  <w:t xml:space="preserve">2. § (1) A Képviselő-testület az önkormányzat 2015. évi költségvetésének </w:t>
      </w:r>
    </w:p>
    <w:p>
      <w:pPr>
        <w:pStyle w:val="style0"/>
        <w:jc w:val="both"/>
      </w:pPr>
      <w:r>
        <w:rPr/>
        <w:t xml:space="preserve">a) bevételi főösszegét  16.918 ezer forintban, </w:t>
      </w:r>
    </w:p>
    <w:p>
      <w:pPr>
        <w:pStyle w:val="style0"/>
        <w:jc w:val="both"/>
      </w:pPr>
      <w:r>
        <w:rPr/>
        <w:t>b) kiadási főösszegét  16.918 ezer forintban</w:t>
      </w:r>
    </w:p>
    <w:p>
      <w:pPr>
        <w:pStyle w:val="style0"/>
        <w:jc w:val="both"/>
      </w:pPr>
      <w:r>
        <w:rPr/>
        <w:t xml:space="preserve">állapítja meg.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(2) Az önkormányzat 2015. évi költségvetési főösszesítőjét az 1. melléklet tartalmazza.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3. § a) A költségvetési bevételek előirányzata   9.626 ezer forint,</w:t>
      </w:r>
    </w:p>
    <w:p>
      <w:pPr>
        <w:pStyle w:val="style0"/>
        <w:jc w:val="both"/>
      </w:pPr>
      <w:r>
        <w:rPr/>
        <w:t xml:space="preserve">b) a finanszírozási műveletek bevétele 97.292 </w:t>
      </w:r>
      <w:r>
        <w:rPr>
          <w:iCs/>
        </w:rPr>
        <w:t>ezer forint,</w:t>
      </w:r>
      <w:r>
        <w:rPr/>
        <w:t xml:space="preserve"> mely </w:t>
      </w:r>
      <w:r>
        <w:rPr>
          <w:iCs/>
        </w:rPr>
        <w:t xml:space="preserve">működési célú pénzmaradvány. </w:t>
      </w:r>
    </w:p>
    <w:p>
      <w:pPr>
        <w:pStyle w:val="style0"/>
        <w:jc w:val="both"/>
      </w:pPr>
      <w:r>
        <w:rPr>
          <w:iCs/>
        </w:rPr>
      </w:r>
    </w:p>
    <w:p>
      <w:pPr>
        <w:pStyle w:val="style0"/>
        <w:jc w:val="both"/>
      </w:pPr>
      <w:r>
        <w:rPr>
          <w:iCs/>
        </w:rPr>
        <w:t xml:space="preserve">4. § a) </w:t>
      </w:r>
      <w:r>
        <w:rPr/>
        <w:t>A költségvetési kiadások előirányzata  16.918 ezer forint,</w:t>
      </w:r>
    </w:p>
    <w:p>
      <w:pPr>
        <w:pStyle w:val="style0"/>
        <w:jc w:val="both"/>
      </w:pPr>
      <w:r>
        <w:rPr/>
        <w:t>(b) az éves létszám előirányzatot 5 főben állapítja meg.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5. § Az önkormányzat sem működési célú, sem felhalmozási célú hitel felvételt nem tervez.</w:t>
      </w:r>
    </w:p>
    <w:p>
      <w:pPr>
        <w:pStyle w:val="style0"/>
        <w:jc w:val="both"/>
      </w:pPr>
      <w:r>
        <w:rPr/>
      </w:r>
    </w:p>
    <w:p>
      <w:pPr>
        <w:pStyle w:val="style60"/>
      </w:pPr>
      <w:r>
        <w:rPr>
          <w:szCs w:val="24"/>
        </w:rPr>
        <w:t>6. § (1) A 2. § b) pontban megállapított kiadási főösszeg kormányfunkciók és kiemelt előirányzatonkénti részletezését a 2. melléklet tartalmazza.</w:t>
      </w:r>
    </w:p>
    <w:p>
      <w:pPr>
        <w:pStyle w:val="style60"/>
      </w:pPr>
      <w:r>
        <w:rPr>
          <w:szCs w:val="24"/>
        </w:rPr>
      </w:r>
    </w:p>
    <w:p>
      <w:pPr>
        <w:pStyle w:val="style60"/>
      </w:pPr>
      <w:r>
        <w:rPr>
          <w:szCs w:val="24"/>
        </w:rPr>
        <w:t>(2) A működési célú pénzeszköz átadásokat és a felhalmozási kiadásokat 3. melléklet tartalmazza.</w:t>
      </w:r>
    </w:p>
    <w:p>
      <w:pPr>
        <w:pStyle w:val="style60"/>
      </w:pPr>
      <w:r>
        <w:rPr>
          <w:szCs w:val="24"/>
        </w:rPr>
      </w:r>
    </w:p>
    <w:p>
      <w:pPr>
        <w:pStyle w:val="style0"/>
        <w:jc w:val="both"/>
      </w:pPr>
      <w:r>
        <w:rPr/>
        <w:t>(3) A bevételek és kiadások 3 éves alakulását a 4. melléklet tartalmazza.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(4)  A felhalmozási célú bevételek és kiadások 3 éves alakulását a  5. melléklet tartalmazza.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(5) Az éves likviditási és előirányzat-felhasználási ütemtervet a 6. melléklet tartalmazza.</w:t>
      </w:r>
    </w:p>
    <w:p>
      <w:pPr>
        <w:pStyle w:val="style0"/>
        <w:jc w:val="both"/>
      </w:pPr>
      <w:r>
        <w:rPr/>
      </w:r>
    </w:p>
    <w:p>
      <w:pPr>
        <w:sectPr>
          <w:headerReference r:id="rId2" w:type="first"/>
          <w:footerReference r:id="rId3" w:type="first"/>
          <w:type w:val="nextPage"/>
          <w:pgSz w:h="16838" w:w="11906"/>
          <w:pgMar w:bottom="1127" w:footer="851" w:gutter="0" w:header="1134" w:left="851" w:right="851" w:top="1410"/>
          <w:pgNumType w:fmt="decimal"/>
          <w:formProt w:val="false"/>
          <w:titlePg/>
          <w:textDirection w:val="lrTb"/>
          <w:docGrid w:charSpace="0" w:linePitch="360" w:type="default"/>
        </w:sectPr>
        <w:pStyle w:val="style0"/>
        <w:jc w:val="both"/>
      </w:pPr>
      <w:r>
        <w:rPr/>
        <w:t>(6) A közvetett támogatásokat tartalmazó kimutatást a 7. melléklet tartalmazza.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(7)  A kötelező, önként vállalt és államigazgatási feladatok bemutatását a 8. melléklet tartalmazza.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>
          <w:b/>
          <w:caps/>
          <w:sz w:val="22"/>
          <w:szCs w:val="22"/>
        </w:rPr>
        <w:t xml:space="preserve">3. A </w:t>
      </w:r>
      <w:r>
        <w:rPr>
          <w:b/>
          <w:sz w:val="22"/>
          <w:szCs w:val="22"/>
        </w:rPr>
        <w:t xml:space="preserve">költségvetés végrehajtására </w:t>
      </w:r>
      <w:r>
        <w:rPr>
          <w:b/>
        </w:rPr>
        <w:t>vonatkozó szabályok</w:t>
      </w:r>
    </w:p>
    <w:p>
      <w:pPr>
        <w:pStyle w:val="style0"/>
      </w:pPr>
      <w:r>
        <w:rPr/>
      </w:r>
    </w:p>
    <w:p>
      <w:pPr>
        <w:pStyle w:val="style0"/>
        <w:overflowPunct w:val="false"/>
        <w:autoSpaceDE w:val="false"/>
        <w:jc w:val="both"/>
        <w:textAlignment w:val="baseline"/>
      </w:pPr>
      <w:r>
        <w:rPr/>
        <w:t>7. § (1) A képviselő-testület felhatalmazza a polgármestert a költségvetésben előírt bevételek beszedésére és a jóváhagyott kiadások teljesítésére.</w:t>
      </w:r>
    </w:p>
    <w:p>
      <w:pPr>
        <w:pStyle w:val="style0"/>
        <w:jc w:val="both"/>
      </w:pPr>
      <w:r>
        <w:rPr/>
      </w:r>
    </w:p>
    <w:p>
      <w:pPr>
        <w:pStyle w:val="style0"/>
        <w:overflowPunct w:val="false"/>
        <w:autoSpaceDE w:val="false"/>
        <w:jc w:val="both"/>
        <w:textAlignment w:val="baseline"/>
      </w:pPr>
      <w:r>
        <w:rPr/>
        <w:t>(2) A kiadási előirányzatok, amennyiben a tervezett bevételek nem folynak be, nem teljesíthetők.</w:t>
      </w:r>
    </w:p>
    <w:p>
      <w:pPr>
        <w:pStyle w:val="style0"/>
        <w:jc w:val="both"/>
      </w:pPr>
      <w:r>
        <w:rPr>
          <w:shd w:fill="FFFF00" w:val="clear"/>
        </w:rPr>
      </w:r>
    </w:p>
    <w:p>
      <w:pPr>
        <w:pStyle w:val="style0"/>
        <w:overflowPunct w:val="false"/>
        <w:autoSpaceDE w:val="false"/>
        <w:jc w:val="both"/>
        <w:textAlignment w:val="baseline"/>
      </w:pPr>
      <w:r>
        <w:rPr/>
        <w:t>(3) A képviselő-testület felhatalmazza a polgármestert, hogy a központi költségvetésből meghatározott célra engedélyezett pótelőirányzatot, a pályázat útján elnyert összegeket előirányzat- átcsoportosítás címén engedélyezze.</w:t>
      </w:r>
    </w:p>
    <w:p>
      <w:pPr>
        <w:pStyle w:val="style0"/>
        <w:overflowPunct w:val="false"/>
        <w:autoSpaceDE w:val="false"/>
        <w:jc w:val="both"/>
        <w:textAlignment w:val="baseline"/>
      </w:pPr>
      <w:r>
        <w:rPr>
          <w:shd w:fill="FFFF00" w:val="clear"/>
        </w:rPr>
      </w:r>
    </w:p>
    <w:p>
      <w:pPr>
        <w:pStyle w:val="style60"/>
        <w:spacing w:line="360" w:lineRule="auto"/>
        <w:jc w:val="center"/>
      </w:pPr>
      <w:r>
        <w:rPr>
          <w:b/>
          <w:szCs w:val="24"/>
        </w:rPr>
        <w:t>4. Az önkormányzat gazdálkodása és előirányzat módosítása</w:t>
      </w:r>
      <w:r>
        <w:rPr>
          <w:b/>
          <w:szCs w:val="24"/>
          <w:u w:val="none"/>
        </w:rPr>
        <w:t xml:space="preserve"> </w:t>
      </w:r>
    </w:p>
    <w:p>
      <w:pPr>
        <w:pStyle w:val="style60"/>
      </w:pPr>
      <w:r>
        <w:rPr>
          <w:szCs w:val="24"/>
        </w:rPr>
      </w:r>
    </w:p>
    <w:p>
      <w:pPr>
        <w:pStyle w:val="style0"/>
        <w:jc w:val="both"/>
      </w:pPr>
      <w:r>
        <w:rPr/>
        <w:t>8. § (1) A képviselő-testület az önkormányzat költségvetését a költségvetési rendelet módosításával megváltoztathatja.</w:t>
      </w:r>
    </w:p>
    <w:p>
      <w:pPr>
        <w:pStyle w:val="style0"/>
        <w:jc w:val="both"/>
      </w:pPr>
      <w:r>
        <w:rPr/>
      </w:r>
    </w:p>
    <w:p>
      <w:pPr>
        <w:pStyle w:val="style0"/>
        <w:overflowPunct w:val="false"/>
        <w:autoSpaceDE w:val="false"/>
        <w:jc w:val="both"/>
        <w:textAlignment w:val="baseline"/>
      </w:pPr>
      <w:r>
        <w:rPr/>
        <w:t>(2) Az önkormányzat a kiemelt előirányzatait csak a képviselő- testület költségvetési rendeletet módosító rendelete alapján módosíthatja.</w:t>
      </w:r>
    </w:p>
    <w:p>
      <w:pPr>
        <w:pStyle w:val="style60"/>
      </w:pPr>
      <w:r>
        <w:rPr>
          <w:szCs w:val="24"/>
        </w:rPr>
      </w:r>
    </w:p>
    <w:p>
      <w:pPr>
        <w:pStyle w:val="style0"/>
        <w:overflowPunct w:val="false"/>
        <w:autoSpaceDE w:val="false"/>
        <w:jc w:val="both"/>
        <w:textAlignment w:val="baseline"/>
      </w:pPr>
      <w:r>
        <w:rPr/>
        <w:t>(3) Az előirányzat-módosításokról, átcsoportosításokról a polgármester a képviselő-testületet 30 napon belül tájékoztatja. A képviselő-testület emiatt az első negyedév kivételével, havonta, de legkésőbb az éves költségvetési beszámoló elkészítésének határidejéig, december 31-ei hatállyal módosítja a költségvetési rendeletét.</w:t>
      </w:r>
    </w:p>
    <w:p>
      <w:pPr>
        <w:pStyle w:val="style60"/>
      </w:pPr>
      <w:r>
        <w:rPr/>
      </w:r>
    </w:p>
    <w:p>
      <w:pPr>
        <w:pStyle w:val="style0"/>
        <w:spacing w:line="360" w:lineRule="auto"/>
        <w:jc w:val="center"/>
      </w:pPr>
      <w:r>
        <w:rPr>
          <w:b/>
        </w:rPr>
        <w:t xml:space="preserve">5. A személyi juttatásokkal és a munkaerővel való gazdálkodás 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both"/>
      </w:pPr>
      <w:r>
        <w:rPr/>
        <w:t>9. § (1) Az önkormányzat a személyi juttatások és a létszám előirányzatával önállóan gazdálkodik.</w:t>
      </w:r>
    </w:p>
    <w:p>
      <w:pPr>
        <w:pStyle w:val="style0"/>
        <w:jc w:val="both"/>
      </w:pPr>
      <w:r>
        <w:rPr/>
        <w:t xml:space="preserve"> </w:t>
      </w:r>
    </w:p>
    <w:p>
      <w:pPr>
        <w:pStyle w:val="style0"/>
        <w:jc w:val="both"/>
      </w:pPr>
      <w:r>
        <w:rPr/>
        <w:t>(2) A jóváhagyott létszám előirányzat nem léphető túl, annak növeléséhez a képviselő-testület jóváhagyása szükséges.</w:t>
      </w:r>
    </w:p>
    <w:p>
      <w:pPr>
        <w:pStyle w:val="style0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>
          <w:b/>
        </w:rPr>
        <w:t>6. A költségvetés előre nem tervezhető bevételeivel és kiadásaival kapcsolatos szabályok</w:t>
      </w:r>
    </w:p>
    <w:p>
      <w:pPr>
        <w:pStyle w:val="style0"/>
        <w:spacing w:line="100" w:lineRule="atLeast"/>
        <w:jc w:val="both"/>
      </w:pPr>
      <w:r>
        <w:rPr>
          <w:b/>
          <w:i/>
        </w:rPr>
      </w:r>
    </w:p>
    <w:p>
      <w:pPr>
        <w:pStyle w:val="style0"/>
        <w:shd w:fill="FFFFFF" w:val="clear"/>
        <w:ind w:end="-1" w:hanging="0" w:start="0"/>
        <w:jc w:val="both"/>
      </w:pPr>
      <w:r>
        <w:rPr/>
        <w:t>10. § A jóváhagyott éves költségvetésen belül a nemzeti közbeszerzési értékhatár 25%-a alatti és nettó 300.000,-Ft feletti beszerzések esetében a polgármester minimum három átlátható gazdasági szereplőtől árajánlatot kér be. A polgármester és az alpolgármester jogosult dönteni a beszerzéssel kapcsolatban.</w:t>
      </w:r>
    </w:p>
    <w:p>
      <w:pPr>
        <w:pStyle w:val="style0"/>
        <w:shd w:fill="FFFFFF" w:val="clear"/>
        <w:ind w:end="-1" w:hanging="0" w:start="540"/>
        <w:jc w:val="both"/>
      </w:pPr>
      <w:r>
        <w:rPr/>
      </w:r>
    </w:p>
    <w:p>
      <w:pPr>
        <w:pStyle w:val="style0"/>
        <w:shd w:fill="FFFFFF" w:val="clear"/>
        <w:ind w:end="-1" w:hanging="0" w:start="540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>
          <w:b/>
          <w:caps/>
        </w:rPr>
        <w:t>7. P</w:t>
      </w:r>
      <w:r>
        <w:rPr>
          <w:b/>
        </w:rPr>
        <w:t>énzmaradvány megállapításának, elszámolásának és felhasználásának szabályai</w:t>
      </w:r>
    </w:p>
    <w:p>
      <w:pPr>
        <w:pStyle w:val="style8"/>
        <w:numPr>
          <w:ilvl w:val="7"/>
          <w:numId w:val="1"/>
        </w:numPr>
        <w:spacing w:after="0" w:before="0"/>
        <w:contextualSpacing w:val="false"/>
        <w:jc w:val="both"/>
      </w:pPr>
      <w:r>
        <w:rPr>
          <w:b/>
          <w:i w:val="false"/>
          <w:iCs w:val="false"/>
        </w:rPr>
      </w:r>
    </w:p>
    <w:p>
      <w:pPr>
        <w:pStyle w:val="style8"/>
        <w:numPr>
          <w:ilvl w:val="7"/>
          <w:numId w:val="1"/>
        </w:numPr>
        <w:spacing w:after="0" w:before="0"/>
        <w:ind w:end="0" w:hanging="0" w:start="-15"/>
        <w:contextualSpacing w:val="false"/>
        <w:jc w:val="both"/>
      </w:pPr>
      <w:r>
        <w:rPr>
          <w:i w:val="false"/>
        </w:rPr>
        <w:t>11. § (1) A képviselő-testület felhatalmazást ad a polgármesternek, hogy az önkormányzat szabad pénzeszközeit, amennyiben a számlát vezető hitelintézetnél jobb feltételeket tud elérni, bármely hitelintézetnél betétként elhelyezze.</w:t>
      </w:r>
    </w:p>
    <w:p>
      <w:pPr>
        <w:pStyle w:val="style0"/>
        <w:overflowPunct w:val="false"/>
        <w:autoSpaceDE w:val="false"/>
        <w:jc w:val="both"/>
        <w:textAlignment w:val="baseline"/>
      </w:pPr>
      <w:r>
        <w:rPr/>
      </w:r>
    </w:p>
    <w:p>
      <w:pPr>
        <w:pStyle w:val="style0"/>
        <w:overflowPunct w:val="false"/>
        <w:autoSpaceDE w:val="false"/>
        <w:jc w:val="both"/>
        <w:textAlignment w:val="baseline"/>
      </w:pPr>
      <w:r>
        <w:rPr/>
        <w:t>(2) Az önkormányzat javára vezetett bankszámla egyenleg banki betétként történő rövid távú elhelyezésére a Gazdasági Ügyrendben nevesített és a kötelezettségvállalásra, utalványozásra felhatalmazott személyek jogosultak.</w:t>
      </w:r>
    </w:p>
    <w:p>
      <w:pPr>
        <w:pStyle w:val="style0"/>
        <w:jc w:val="both"/>
      </w:pPr>
      <w:r>
        <w:rPr/>
      </w:r>
    </w:p>
    <w:p>
      <w:pPr>
        <w:pStyle w:val="style60"/>
      </w:pPr>
      <w:r>
        <w:rPr>
          <w:szCs w:val="24"/>
        </w:rPr>
        <w:t>(3) Átmenetileg szabadon felhasználható költségvetési pénzeszközök terhére történő államilag garantált értékpapír vásárlással kapcsolatos jogügyletre a polgármester jogosult.</w:t>
      </w:r>
    </w:p>
    <w:p>
      <w:pPr>
        <w:pStyle w:val="style60"/>
      </w:pPr>
      <w:r>
        <w:rPr>
          <w:b/>
          <w:szCs w:val="24"/>
        </w:rPr>
      </w:r>
    </w:p>
    <w:p>
      <w:pPr>
        <w:pStyle w:val="style60"/>
        <w:spacing w:line="360" w:lineRule="auto"/>
        <w:jc w:val="center"/>
      </w:pPr>
      <w:r>
        <w:rPr>
          <w:b/>
          <w:szCs w:val="24"/>
        </w:rPr>
        <w:t>8. Költségvetési gazdálkodásra vonatkozó további szabályok</w:t>
      </w:r>
    </w:p>
    <w:p>
      <w:pPr>
        <w:pStyle w:val="style60"/>
      </w:pPr>
      <w:r>
        <w:rPr>
          <w:szCs w:val="24"/>
        </w:rPr>
      </w:r>
    </w:p>
    <w:p>
      <w:pPr>
        <w:pStyle w:val="style60"/>
      </w:pPr>
      <w:r>
        <w:rPr>
          <w:szCs w:val="24"/>
        </w:rPr>
        <w:t>12. § Felújítás, beruházás csak akkor indítható, ha a szükséges fedezet rendelkezésre áll.</w:t>
      </w:r>
    </w:p>
    <w:p>
      <w:pPr>
        <w:pStyle w:val="style60"/>
      </w:pPr>
      <w:r>
        <w:rPr>
          <w:szCs w:val="24"/>
        </w:rPr>
      </w:r>
    </w:p>
    <w:p>
      <w:pPr>
        <w:pStyle w:val="style60"/>
      </w:pPr>
      <w:r>
        <w:rPr>
          <w:szCs w:val="24"/>
        </w:rPr>
        <w:t>13. § (1) A képviselő-testület egyesületek, civil szervezetek, alapítványok részére támogatást nyújthat.</w:t>
      </w:r>
    </w:p>
    <w:p>
      <w:pPr>
        <w:pStyle w:val="style60"/>
      </w:pPr>
      <w:r>
        <w:rPr>
          <w:szCs w:val="24"/>
        </w:rPr>
      </w:r>
    </w:p>
    <w:p>
      <w:pPr>
        <w:pStyle w:val="style60"/>
      </w:pPr>
      <w:r>
        <w:rPr>
          <w:szCs w:val="24"/>
        </w:rPr>
        <w:t>(2) Az alapítványok részére pénzeszközt átadni kizárólag a képviselő-testület döntése alapján lehet, csak abban az esetben, ha a költségvetésben a támogatás fedezete rendelkezésre áll, és nem jár hitelfelvétellel.</w:t>
      </w:r>
    </w:p>
    <w:p>
      <w:pPr>
        <w:pStyle w:val="style60"/>
      </w:pPr>
      <w:r>
        <w:rPr>
          <w:szCs w:val="24"/>
        </w:rPr>
      </w:r>
    </w:p>
    <w:p>
      <w:pPr>
        <w:pStyle w:val="style60"/>
        <w:tabs>
          <w:tab w:leader="none" w:pos="0" w:val="left"/>
        </w:tabs>
      </w:pPr>
      <w:r>
        <w:rPr>
          <w:szCs w:val="24"/>
        </w:rPr>
        <w:t>(3) Csak azok az egyesületek, civil szervezetek, alapítványok kaphatnak támogatást, akik a kapott támogatás felhasználásának ellenőrzését biztosítják. A támogatáshoz megállapodást kell készíteni. A 2015. évi támogatás feltétele, hogy a 2014. évben kapott összegről a támogatott egyesület, civil szervezet elszámolást készít a támogatási megállapodásban megjelölt határidőig. A támogatás megállapításánál figyelembe kell venni, hogy a támogatott szervezet az önkormányzat költségvetésében szereplő más előirányzatokból milyen nagyságrendben és milyen célzattal kapott már támogatást.</w:t>
      </w:r>
    </w:p>
    <w:p>
      <w:pPr>
        <w:pStyle w:val="style60"/>
        <w:tabs>
          <w:tab w:leader="none" w:pos="0" w:val="left"/>
        </w:tabs>
      </w:pPr>
      <w:r>
        <w:rPr>
          <w:szCs w:val="24"/>
        </w:rPr>
      </w:r>
    </w:p>
    <w:p>
      <w:pPr>
        <w:pStyle w:val="style60"/>
        <w:tabs>
          <w:tab w:leader="none" w:pos="0" w:val="left"/>
        </w:tabs>
      </w:pPr>
      <w:r>
        <w:rPr>
          <w:szCs w:val="24"/>
        </w:rPr>
        <w:t>(4) A különböző civil szervezetek, alapítványok és egyesületek részére nyújtott támogatások felhasználását a pénzügyi iroda köteles dokumentáltan ellenőrizni. A nem szerződésszerű felhasználás esetére jogkövetkezményt kell kikötni.</w:t>
      </w:r>
    </w:p>
    <w:p>
      <w:pPr>
        <w:pStyle w:val="style60"/>
        <w:tabs>
          <w:tab w:leader="none" w:pos="720" w:val="left"/>
        </w:tabs>
        <w:ind w:end="0" w:hanging="360" w:start="360"/>
        <w:jc w:val="center"/>
      </w:pPr>
      <w:r>
        <w:rPr>
          <w:b/>
          <w:szCs w:val="24"/>
        </w:rPr>
      </w:r>
    </w:p>
    <w:p>
      <w:pPr>
        <w:pStyle w:val="style60"/>
      </w:pPr>
      <w:r>
        <w:rPr>
          <w:szCs w:val="24"/>
        </w:rPr>
        <w:t>14. § (1) A polgármester az önkormányzatot megillető pénzkövetelésre fizetési halasztást, részletfizetést engedélyezhet, azonban ez nem veszélyeztetheti az önkormányzat gazdálkodását.</w:t>
      </w:r>
    </w:p>
    <w:p>
      <w:pPr>
        <w:pStyle w:val="style60"/>
      </w:pPr>
      <w:r>
        <w:rPr>
          <w:szCs w:val="24"/>
        </w:rPr>
      </w:r>
    </w:p>
    <w:p>
      <w:pPr>
        <w:pStyle w:val="style60"/>
      </w:pPr>
      <w:r>
        <w:rPr>
          <w:szCs w:val="24"/>
        </w:rPr>
        <w:t>(2) Pénzkövetelés behajtásánál legalább a Polgári Törvénykönyv szerinti késedelmi kamat érvényesítése kötelező, ha jogszabály vagy szerződés ettől eltérően nem rendelkezik.</w:t>
      </w:r>
    </w:p>
    <w:p>
      <w:pPr>
        <w:pStyle w:val="style60"/>
        <w:tabs>
          <w:tab w:leader="none" w:pos="720" w:val="left"/>
        </w:tabs>
        <w:ind w:end="0" w:hanging="360" w:start="360"/>
      </w:pPr>
      <w:r>
        <w:rPr/>
      </w:r>
    </w:p>
    <w:p>
      <w:pPr>
        <w:pStyle w:val="style0"/>
        <w:spacing w:line="360" w:lineRule="auto"/>
        <w:jc w:val="center"/>
      </w:pPr>
      <w:r>
        <w:rPr>
          <w:b/>
          <w:spacing w:val="-14"/>
        </w:rPr>
        <w:t>9. Záró rendelkezések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15. §</w:t>
      </w:r>
      <w:r>
        <w:rPr>
          <w:b/>
        </w:rPr>
        <w:t xml:space="preserve"> </w:t>
      </w:r>
      <w:r>
        <w:rPr/>
        <w:t>Ez a rendelet kihirdetést követő napon lép hatályba.</w:t>
      </w:r>
    </w:p>
    <w:p>
      <w:pPr>
        <w:pStyle w:val="style0"/>
        <w:jc w:val="both"/>
      </w:pPr>
      <w:r>
        <w:rPr/>
        <w:t xml:space="preserve"> </w:t>
      </w:r>
    </w:p>
    <w:p>
      <w:pPr>
        <w:pStyle w:val="style52"/>
        <w:jc w:val="both"/>
      </w:pPr>
      <w:r>
        <w:rPr>
          <w:sz w:val="24"/>
          <w:szCs w:val="24"/>
        </w:rPr>
        <w:t xml:space="preserve">16. § A rendelet a 2015. évi költségvetési évre szól és hatálya a 2015. évi költségvetés végrehajtásáról szóló beszámoló elfogadásáig tart. </w:t>
      </w:r>
    </w:p>
    <w:p>
      <w:pPr>
        <w:pStyle w:val="style52"/>
        <w:tabs>
          <w:tab w:leader="none" w:pos="7655" w:val="left"/>
        </w:tabs>
        <w:spacing w:after="0" w:before="0"/>
        <w:ind w:end="0" w:firstLine="567" w:start="0"/>
        <w:contextualSpacing w:val="false"/>
      </w:pPr>
      <w:r>
        <w:rPr>
          <w:sz w:val="24"/>
          <w:szCs w:val="24"/>
        </w:rPr>
      </w:r>
    </w:p>
    <w:p>
      <w:pPr>
        <w:pStyle w:val="style52"/>
        <w:tabs>
          <w:tab w:leader="none" w:pos="7655" w:val="left"/>
        </w:tabs>
        <w:spacing w:after="0" w:before="0"/>
        <w:ind w:end="0" w:firstLine="567" w:start="0"/>
        <w:contextualSpacing w:val="false"/>
      </w:pPr>
      <w:r>
        <w:rPr>
          <w:sz w:val="24"/>
          <w:szCs w:val="24"/>
        </w:rPr>
      </w:r>
    </w:p>
    <w:p>
      <w:pPr>
        <w:pStyle w:val="style52"/>
        <w:tabs>
          <w:tab w:leader="none" w:pos="7655" w:val="left"/>
        </w:tabs>
        <w:spacing w:after="0" w:before="0"/>
        <w:ind w:end="0" w:firstLine="567" w:start="0"/>
        <w:contextualSpacing w:val="false"/>
      </w:pPr>
      <w:r>
        <w:rPr>
          <w:sz w:val="24"/>
          <w:szCs w:val="24"/>
        </w:rPr>
      </w:r>
    </w:p>
    <w:p>
      <w:pPr>
        <w:pStyle w:val="style52"/>
        <w:tabs>
          <w:tab w:leader="none" w:pos="7655" w:val="left"/>
        </w:tabs>
        <w:spacing w:after="0" w:before="0"/>
        <w:ind w:end="0" w:firstLine="567" w:start="0"/>
        <w:contextualSpacing w:val="false"/>
      </w:pPr>
      <w:r>
        <w:rPr>
          <w:rFonts w:ascii="Times New (W1);Times New Roman" w:cs="Times New (W1);Times New Roman" w:hAnsi="Times New (W1);Times New Roman"/>
          <w:b/>
          <w:sz w:val="24"/>
          <w:szCs w:val="24"/>
        </w:rPr>
        <w:t>Dániel</w:t>
      </w:r>
      <w:r>
        <w:rPr>
          <w:rFonts w:ascii="Times New (W1);Times New Roman" w:cs="Times New (W1);Times New Roman" w:eastAsia="Times New (W1);Times New Roman" w:hAnsi="Times New (W1);Times New Roman"/>
          <w:b/>
          <w:sz w:val="24"/>
          <w:szCs w:val="24"/>
        </w:rPr>
        <w:t xml:space="preserve"> </w:t>
      </w:r>
      <w:r>
        <w:rPr>
          <w:rFonts w:ascii="Times New (W1);Times New Roman" w:cs="Times New (W1);Times New Roman" w:hAnsi="Times New (W1);Times New Roman"/>
          <w:b/>
          <w:sz w:val="24"/>
          <w:szCs w:val="24"/>
        </w:rPr>
        <w:t>Ferenc</w:t>
      </w:r>
      <w:r>
        <w:rPr>
          <w:rFonts w:ascii="Times New (W1);Times New Roman" w:cs="Times New (W1);Times New Roman" w:eastAsia="Times New (W1);Times New Roman" w:hAnsi="Times New (W1);Times New Roman"/>
          <w:b/>
          <w:sz w:val="24"/>
          <w:szCs w:val="24"/>
        </w:rPr>
        <w:t xml:space="preserve"> </w:t>
      </w:r>
      <w:r>
        <w:rPr>
          <w:rFonts w:ascii="Times New (W1);Times New Roman" w:cs="Times New (W1);Times New Roman" w:hAnsi="Times New (W1);Times New Roman"/>
          <w:b/>
          <w:sz w:val="24"/>
          <w:szCs w:val="24"/>
        </w:rPr>
        <w:tab/>
        <w:t>Bendes</w:t>
      </w:r>
      <w:r>
        <w:rPr>
          <w:rFonts w:ascii="Times New (W1);Times New Roman" w:cs="Times New (W1);Times New Roman" w:eastAsia="Times New (W1);Times New Roman" w:hAnsi="Times New (W1);Times New Roman"/>
          <w:b/>
          <w:sz w:val="24"/>
          <w:szCs w:val="24"/>
        </w:rPr>
        <w:t xml:space="preserve"> </w:t>
      </w:r>
      <w:r>
        <w:rPr>
          <w:rFonts w:ascii="Times New (W1);Times New Roman" w:cs="Times New (W1);Times New Roman" w:hAnsi="Times New (W1);Times New Roman"/>
          <w:b/>
          <w:sz w:val="24"/>
          <w:szCs w:val="24"/>
        </w:rPr>
        <w:t>István</w:t>
      </w:r>
    </w:p>
    <w:p>
      <w:pPr>
        <w:pStyle w:val="style0"/>
        <w:tabs>
          <w:tab w:leader="none" w:pos="8080" w:val="left"/>
        </w:tabs>
        <w:ind w:end="0" w:firstLine="567" w:start="0"/>
      </w:pPr>
      <w:r>
        <w:rPr>
          <w:rFonts w:ascii="Times New (W1);Times New Roman" w:cs="Times New (W1);Times New Roman" w:hAnsi="Times New (W1);Times New Roman"/>
        </w:rPr>
        <w:t>polgármester</w:t>
      </w:r>
      <w:r>
        <w:rPr>
          <w:rFonts w:ascii="Times New (W1);Times New Roman" w:cs="Times New (W1);Times New Roman" w:eastAsia="Times New (W1);Times New Roman" w:hAnsi="Times New (W1);Times New Roman"/>
        </w:rPr>
        <w:t xml:space="preserve"> </w:t>
      </w:r>
      <w:r>
        <w:rPr>
          <w:rFonts w:ascii="Times New (W1);Times New Roman" w:cs="Times New (W1);Times New Roman" w:hAnsi="Times New (W1);Times New Roman"/>
        </w:rPr>
        <w:tab/>
        <w:t>jegyző</w:t>
      </w:r>
      <w:r>
        <w:rPr>
          <w:rFonts w:ascii="Times New (W1);Times New Roman" w:cs="Times New (W1);Times New Roman" w:eastAsia="Times New (W1);Times New Roman" w:hAnsi="Times New (W1);Times New Roman"/>
        </w:rPr>
        <w:t xml:space="preserve"> </w:t>
      </w:r>
    </w:p>
    <w:sectPr>
      <w:headerReference r:id="rId4" w:type="default"/>
      <w:footerReference r:id="rId5" w:type="default"/>
      <w:type w:val="nextPage"/>
      <w:pgSz w:h="16838" w:w="11906"/>
      <w:pgMar w:bottom="1127" w:footer="851" w:gutter="0" w:header="900" w:left="851" w:right="851" w:top="117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0"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2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2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1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1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start"/>
      <w:pPr>
        <w:ind w:hanging="432" w:start="432"/>
      </w:pPr>
    </w:lvl>
    <w:lvl w:ilvl="1">
      <w:start w:val="1"/>
      <w:numFmt w:val="none"/>
      <w:suff w:val="nothing"/>
      <w:lvlText w:val=""/>
      <w:lvlJc w:val="start"/>
      <w:pPr>
        <w:ind w:hanging="576" w:start="576"/>
      </w:pPr>
    </w:lvl>
    <w:lvl w:ilvl="2">
      <w:start w:val="1"/>
      <w:numFmt w:val="none"/>
      <w:suff w:val="nothing"/>
      <w:lvlText w:val=""/>
      <w:lvlJc w:val="start"/>
      <w:pPr>
        <w:ind w:hanging="720" w:start="720"/>
      </w:pPr>
    </w:lvl>
    <w:lvl w:ilvl="3">
      <w:start w:val="1"/>
      <w:numFmt w:val="none"/>
      <w:suff w:val="nothing"/>
      <w:lvlText w:val=""/>
      <w:lvlJc w:val="start"/>
      <w:pPr>
        <w:ind w:hanging="864" w:start="864"/>
      </w:pPr>
    </w:lvl>
    <w:lvl w:ilvl="4">
      <w:start w:val="1"/>
      <w:numFmt w:val="none"/>
      <w:suff w:val="nothing"/>
      <w:lvlText w:val=""/>
      <w:lvlJc w:val="start"/>
      <w:pPr>
        <w:ind w:hanging="1008" w:start="1008"/>
      </w:pPr>
    </w:lvl>
    <w:lvl w:ilvl="5">
      <w:start w:val="1"/>
      <w:numFmt w:val="none"/>
      <w:suff w:val="nothing"/>
      <w:lvlText w:val=""/>
      <w:lvlJc w:val="start"/>
      <w:pPr>
        <w:ind w:hanging="1152" w:start="1152"/>
      </w:pPr>
    </w:lvl>
    <w:lvl w:ilvl="6">
      <w:start w:val="1"/>
      <w:numFmt w:val="none"/>
      <w:suff w:val="nothing"/>
      <w:lvlText w:val=""/>
      <w:lvlJc w:val="start"/>
      <w:pPr>
        <w:ind w:hanging="1296" w:start="1296"/>
      </w:pPr>
    </w:lvl>
    <w:lvl w:ilvl="7">
      <w:start w:val="1"/>
      <w:numFmt w:val="none"/>
      <w:suff w:val="nothing"/>
      <w:lvlText w:val=""/>
      <w:lvlJc w:val="start"/>
      <w:pPr>
        <w:ind w:hanging="1440" w:start="1440"/>
      </w:pPr>
    </w:lvl>
    <w:lvl w:ilvl="8">
      <w:start w:val="1"/>
      <w:numFmt w:val="none"/>
      <w:suff w:val="nothing"/>
      <w:lvlText w:val=""/>
      <w:lvlJc w:val="start"/>
      <w:pPr>
        <w:ind w:hanging="1584" w:star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hu-HU"/>
    </w:rPr>
  </w:style>
  <w:style w:styleId="style4" w:type="paragraph">
    <w:name w:val="Címsor 4"/>
    <w:basedOn w:val="style0"/>
    <w:next w:val="style0"/>
    <w:pPr>
      <w:keepNext/>
      <w:numPr>
        <w:ilvl w:val="3"/>
        <w:numId w:val="1"/>
      </w:numPr>
      <w:spacing w:after="60" w:before="240"/>
      <w:contextualSpacing w:val="false"/>
      <w:outlineLvl w:val="3"/>
    </w:pPr>
    <w:rPr>
      <w:b/>
      <w:i/>
      <w:szCs w:val="20"/>
    </w:rPr>
  </w:style>
  <w:style w:styleId="style8" w:type="paragraph">
    <w:name w:val="Címsor 8"/>
    <w:basedOn w:val="style0"/>
    <w:next w:val="style0"/>
    <w:pPr>
      <w:numPr>
        <w:ilvl w:val="7"/>
        <w:numId w:val="1"/>
      </w:numPr>
      <w:spacing w:after="60" w:before="240"/>
      <w:contextualSpacing w:val="false"/>
      <w:outlineLvl w:val="7"/>
    </w:pPr>
    <w:rPr>
      <w:i/>
      <w:iCs/>
    </w:rPr>
  </w:style>
  <w:style w:styleId="style15" w:type="character">
    <w:name w:val="Absatz-Standardschriftar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/>
  </w:style>
  <w:style w:styleId="style26" w:type="character">
    <w:name w:val="WW8Num2z1"/>
    <w:next w:val="style26"/>
    <w:rPr/>
  </w:style>
  <w:style w:styleId="style27" w:type="character">
    <w:name w:val="WW8Num2z2"/>
    <w:next w:val="style27"/>
    <w:rPr/>
  </w:style>
  <w:style w:styleId="style28" w:type="character">
    <w:name w:val="WW8Num2z3"/>
    <w:next w:val="style28"/>
    <w:rPr/>
  </w:style>
  <w:style w:styleId="style29" w:type="character">
    <w:name w:val="WW8Num2z4"/>
    <w:next w:val="style29"/>
    <w:rPr/>
  </w:style>
  <w:style w:styleId="style30" w:type="character">
    <w:name w:val="WW8Num2z5"/>
    <w:next w:val="style30"/>
    <w:rPr/>
  </w:style>
  <w:style w:styleId="style31" w:type="character">
    <w:name w:val="WW8Num2z6"/>
    <w:next w:val="style31"/>
    <w:rPr/>
  </w:style>
  <w:style w:styleId="style32" w:type="character">
    <w:name w:val="WW8Num2z7"/>
    <w:next w:val="style32"/>
    <w:rPr/>
  </w:style>
  <w:style w:styleId="style33" w:type="character">
    <w:name w:val="WW8Num2z8"/>
    <w:next w:val="style33"/>
    <w:rPr/>
  </w:style>
  <w:style w:styleId="style34" w:type="character">
    <w:name w:val="WW-Absatz-Standardschriftart"/>
    <w:next w:val="style34"/>
    <w:rPr/>
  </w:style>
  <w:style w:styleId="style35" w:type="character">
    <w:name w:val="WW-Absatz-Standardschriftart1"/>
    <w:next w:val="style35"/>
    <w:rPr/>
  </w:style>
  <w:style w:styleId="style36" w:type="character">
    <w:name w:val="Bekezdés alapbetűtípusa"/>
    <w:next w:val="style36"/>
    <w:rPr/>
  </w:style>
  <w:style w:styleId="style37" w:type="character">
    <w:name w:val="Bekezdés alapbetűtípusa2"/>
    <w:next w:val="style37"/>
    <w:rPr/>
  </w:style>
  <w:style w:styleId="style38" w:type="character">
    <w:name w:val="WW-Absatz-Standardschriftart11"/>
    <w:next w:val="style38"/>
    <w:rPr/>
  </w:style>
  <w:style w:styleId="style39" w:type="character">
    <w:name w:val="WW-Absatz-Standardschriftart111"/>
    <w:next w:val="style39"/>
    <w:rPr/>
  </w:style>
  <w:style w:styleId="style40" w:type="character">
    <w:name w:val="Bekezdés alap-betűtípusa"/>
    <w:next w:val="style40"/>
    <w:rPr/>
  </w:style>
  <w:style w:styleId="style41" w:type="character">
    <w:name w:val="WW-Absatz-Standardschriftart1111"/>
    <w:next w:val="style41"/>
    <w:rPr/>
  </w:style>
  <w:style w:styleId="style42" w:type="character">
    <w:name w:val="WW-Absatz-Standardschriftart11111"/>
    <w:next w:val="style42"/>
    <w:rPr/>
  </w:style>
  <w:style w:styleId="style43" w:type="character">
    <w:name w:val="WW-Absatz-Standardschriftart111111"/>
    <w:next w:val="style43"/>
    <w:rPr/>
  </w:style>
  <w:style w:styleId="style44" w:type="character">
    <w:name w:val="WW-Absatz-Standardschriftart1111111"/>
    <w:next w:val="style44"/>
    <w:rPr/>
  </w:style>
  <w:style w:styleId="style45" w:type="character">
    <w:name w:val="WW-Bekezdés alap-betűtípusa"/>
    <w:next w:val="style45"/>
    <w:rPr/>
  </w:style>
  <w:style w:styleId="style46" w:type="character">
    <w:name w:val="WW8Num10z0"/>
    <w:next w:val="style46"/>
    <w:rPr>
      <w:b w:val="false"/>
      <w:i w:val="false"/>
      <w:sz w:val="24"/>
      <w:szCs w:val="24"/>
    </w:rPr>
  </w:style>
  <w:style w:styleId="style47" w:type="character">
    <w:name w:val="WW8Num19z1"/>
    <w:next w:val="style47"/>
    <w:rPr>
      <w:rFonts w:ascii="Symbol" w:cs="Symbol" w:hAnsi="Symbol"/>
    </w:rPr>
  </w:style>
  <w:style w:styleId="style48" w:type="character">
    <w:name w:val="Bekezdés alapbetűtípusa1"/>
    <w:next w:val="style48"/>
    <w:rPr/>
  </w:style>
  <w:style w:styleId="style49" w:type="character">
    <w:name w:val="Oldalszám"/>
    <w:basedOn w:val="style48"/>
    <w:next w:val="style49"/>
    <w:rPr/>
  </w:style>
  <w:style w:styleId="style50" w:type="character">
    <w:name w:val="a jkv szövege Char"/>
    <w:basedOn w:val="style48"/>
    <w:next w:val="style50"/>
    <w:rPr>
      <w:sz w:val="24"/>
      <w:lang w:bidi="ar-SA" w:val="hu-HU"/>
    </w:rPr>
  </w:style>
  <w:style w:styleId="style51" w:type="paragraph">
    <w:name w:val="Címsor"/>
    <w:basedOn w:val="style0"/>
    <w:next w:val="style52"/>
    <w:pPr>
      <w:jc w:val="center"/>
    </w:pPr>
    <w:rPr>
      <w:b/>
      <w:szCs w:val="20"/>
    </w:rPr>
  </w:style>
  <w:style w:styleId="style52" w:type="paragraph">
    <w:name w:val="Szövegtörzs"/>
    <w:basedOn w:val="style0"/>
    <w:next w:val="style52"/>
    <w:pPr>
      <w:spacing w:after="120" w:before="0"/>
      <w:contextualSpacing w:val="false"/>
    </w:pPr>
    <w:rPr>
      <w:sz w:val="20"/>
      <w:szCs w:val="20"/>
    </w:rPr>
  </w:style>
  <w:style w:styleId="style53" w:type="paragraph">
    <w:name w:val="Lista"/>
    <w:basedOn w:val="style0"/>
    <w:next w:val="style53"/>
    <w:pPr>
      <w:ind w:end="0" w:hanging="283" w:start="283"/>
    </w:pPr>
    <w:rPr>
      <w:sz w:val="20"/>
      <w:szCs w:val="20"/>
    </w:rPr>
  </w:style>
  <w:style w:styleId="style54" w:type="paragraph">
    <w:name w:val="Felirat"/>
    <w:basedOn w:val="style0"/>
    <w:next w:val="style5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5" w:type="paragraph">
    <w:name w:val="Tárgymutató"/>
    <w:basedOn w:val="style0"/>
    <w:next w:val="style55"/>
    <w:pPr>
      <w:suppressLineNumbers/>
    </w:pPr>
    <w:rPr>
      <w:rFonts w:cs="Mangal"/>
    </w:rPr>
  </w:style>
  <w:style w:styleId="style56" w:type="paragraph">
    <w:name w:val="Képaláírás"/>
    <w:basedOn w:val="style0"/>
    <w:next w:val="style5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7" w:type="paragraph">
    <w:name w:val="Képaláírás2"/>
    <w:basedOn w:val="style0"/>
    <w:next w:val="style5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8" w:type="paragraph">
    <w:name w:val="Képaláírás1"/>
    <w:basedOn w:val="style0"/>
    <w:next w:val="style5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9" w:type="paragraph">
    <w:name w:val="WW-Képaláírás"/>
    <w:basedOn w:val="style0"/>
    <w:next w:val="style5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0" w:type="paragraph">
    <w:name w:val="a jkv szövege"/>
    <w:basedOn w:val="style0"/>
    <w:next w:val="style60"/>
    <w:pPr>
      <w:jc w:val="both"/>
    </w:pPr>
    <w:rPr>
      <w:szCs w:val="20"/>
    </w:rPr>
  </w:style>
  <w:style w:styleId="style61" w:type="paragraph">
    <w:name w:val="Élőfej"/>
    <w:basedOn w:val="style0"/>
    <w:next w:val="style61"/>
    <w:pPr>
      <w:tabs>
        <w:tab w:leader="none" w:pos="4536" w:val="center"/>
        <w:tab w:leader="none" w:pos="9072" w:val="right"/>
      </w:tabs>
    </w:pPr>
    <w:rPr>
      <w:szCs w:val="20"/>
    </w:rPr>
  </w:style>
  <w:style w:styleId="style62" w:type="paragraph">
    <w:name w:val="Élőláb"/>
    <w:basedOn w:val="style0"/>
    <w:next w:val="style62"/>
    <w:pPr>
      <w:tabs>
        <w:tab w:leader="none" w:pos="4536" w:val="center"/>
        <w:tab w:leader="none" w:pos="9072" w:val="right"/>
      </w:tabs>
    </w:pPr>
    <w:rPr/>
  </w:style>
  <w:style w:styleId="style63" w:type="paragraph">
    <w:name w:val="Szövegtörzs 31"/>
    <w:basedOn w:val="style0"/>
    <w:next w:val="style63"/>
    <w:pPr>
      <w:overflowPunct w:val="false"/>
      <w:autoSpaceDE w:val="false"/>
      <w:spacing w:after="120" w:before="0"/>
      <w:contextualSpacing w:val="false"/>
      <w:textAlignment w:val="baseline"/>
    </w:pPr>
    <w:rPr>
      <w:sz w:val="16"/>
      <w:szCs w:val="16"/>
    </w:rPr>
  </w:style>
  <w:style w:styleId="style64" w:type="paragraph">
    <w:name w:val="Szövegtörzs 21"/>
    <w:basedOn w:val="style0"/>
    <w:next w:val="style64"/>
    <w:pPr>
      <w:spacing w:after="120" w:before="0" w:line="480" w:lineRule="auto"/>
      <w:contextualSpacing w:val="false"/>
    </w:pPr>
    <w:rPr/>
  </w:style>
  <w:style w:styleId="style65" w:type="paragraph">
    <w:name w:val="Buborékszöveg"/>
    <w:basedOn w:val="style0"/>
    <w:next w:val="style65"/>
    <w:pPr/>
    <w:rPr>
      <w:rFonts w:ascii="Tahoma" w:cs="Tahoma" w:hAnsi="Tahoma"/>
      <w:sz w:val="16"/>
      <w:szCs w:val="16"/>
    </w:rPr>
  </w:style>
  <w:style w:styleId="style66" w:type="paragraph">
    <w:name w:val="Kerettartalom"/>
    <w:basedOn w:val="style52"/>
    <w:next w:val="style6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2014-02-05T15:23:00.00Z</dcterms:created>
  <dc:creator>Kriszta</dc:creator>
  <cp:lastModifiedBy>gabi</cp:lastModifiedBy>
  <cp:lastPrinted>2015-02-17T11:26:00.00Z</cp:lastPrinted>
  <dcterms:modified xsi:type="dcterms:W3CDTF">2014-02-05T15:25:00.00Z</dcterms:modified>
  <cp:revision>3</cp:revision>
  <dc:title>DEVECSER VÁROS ÖNKORMÁNYZATA</dc:title>
</cp:coreProperties>
</file>