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ind w:hanging="0" w:left="0" w:right="-108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b/>
          <w:bCs/>
          <w:sz w:val="24"/>
          <w:szCs w:val="24"/>
        </w:rPr>
        <w:t>ÖNKORMÁNYZATA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KÉPVISELŐ-TESTÜLETÉNEK</w:t>
      </w:r>
    </w:p>
    <w:p>
      <w:pPr>
        <w:pStyle w:val="style19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9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15/2015.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(XII.22.)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önkormányzati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rendelete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</w:p>
    <w:p>
      <w:pPr>
        <w:pStyle w:val="style0"/>
        <w:ind w:firstLine="113" w:left="0" w:right="0"/>
        <w:jc w:val="center"/>
      </w:pPr>
      <w:r>
        <w:rPr>
          <w:rFonts w:ascii="Times New Roman" w:cs="Times New Roman" w:hAnsi="Times New Roman"/>
          <w:bCs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települési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támogatásról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személyes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gondoskodást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nyújtó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ellátások</w:t>
      </w:r>
    </w:p>
    <w:p>
      <w:pPr>
        <w:pStyle w:val="style0"/>
        <w:ind w:firstLine="113" w:left="0" w:right="0"/>
        <w:jc w:val="center"/>
      </w:pP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helyi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szabályozásáról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szóló 3/2015.(II.27.) önkormányzati rendelet módosításáról</w:t>
      </w:r>
    </w:p>
    <w:p>
      <w:pPr>
        <w:pStyle w:val="style0"/>
        <w:ind w:hanging="0" w:left="180" w:right="0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ind w:hanging="0" w:left="180" w:right="0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szociális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igazgatásról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szociális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ellátásokról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szóló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1993.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évi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III.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törvény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132.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§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(4)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bekezdés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pontjában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kapott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felhatalmazás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alapján,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Magyarország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helyi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önkormányzatairól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szóló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2011.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évi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CLXXXIX.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törvény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13.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§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bekezdés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8a.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pontjában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meghatározott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feladatkörében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eljárva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következőket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rendeli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1. § </w:t>
      </w:r>
      <w:r>
        <w:rPr>
          <w:rFonts w:ascii="Times New Roman" w:cs="Times New Roman" w:hAnsi="Times New Roman"/>
          <w:bCs/>
          <w:sz w:val="24"/>
          <w:szCs w:val="24"/>
        </w:rPr>
        <w:t>A települési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támogatásról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személyes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gondoskodást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nyújtó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ellátások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helyi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szabályozásáról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szóló 3/2015.(II.27.) önkormányzati rendelet 12-14. §-a helyébe a következő rendelkezések lépnek:</w:t>
      </w:r>
    </w:p>
    <w:p>
      <w:pPr>
        <w:pStyle w:val="style0"/>
        <w:ind w:hanging="426" w:left="426" w:right="0"/>
        <w:jc w:val="both"/>
      </w:pPr>
      <w:r>
        <w:rPr/>
      </w:r>
    </w:p>
    <w:p>
      <w:pPr>
        <w:pStyle w:val="style0"/>
        <w:ind w:hanging="426" w:left="426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„</w:t>
      </w:r>
      <w:r>
        <w:rPr>
          <w:rFonts w:ascii="Times New Roman" w:cs="Times New Roman" w:hAnsi="Times New Roman"/>
          <w:sz w:val="24"/>
          <w:szCs w:val="24"/>
        </w:rPr>
        <w:t>12.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§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Önkormányzat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személyes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gondoskodást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nyújtó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szociális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alapszolgáltatás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keretében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biztosítja</w:t>
      </w:r>
    </w:p>
    <w:p>
      <w:pPr>
        <w:pStyle w:val="style0"/>
        <w:ind w:hanging="0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étkeztetést,</w:t>
      </w:r>
    </w:p>
    <w:p>
      <w:pPr>
        <w:pStyle w:val="style0"/>
        <w:ind w:hanging="0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házi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segítségnyújtást.</w:t>
      </w:r>
    </w:p>
    <w:p>
      <w:pPr>
        <w:pStyle w:val="style22"/>
        <w:spacing w:after="0" w:before="0"/>
        <w:ind w:hanging="0" w:left="415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hanging="368" w:left="375" w:right="0"/>
        <w:jc w:val="both"/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>(2)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>Önkormányzat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>bekezdés a) pontjában meghatározott ellátásról egyéb főzőhely keretében, vásárolt kész ebéd biztosításával gondoskodik.</w:t>
      </w:r>
    </w:p>
    <w:p>
      <w:pPr>
        <w:pStyle w:val="style0"/>
        <w:ind w:hanging="368" w:left="375" w:right="0"/>
        <w:jc w:val="both"/>
      </w:pPr>
      <w:r>
        <w:rPr/>
      </w:r>
    </w:p>
    <w:p>
      <w:pPr>
        <w:pStyle w:val="style0"/>
        <w:ind w:hanging="368" w:left="375" w:right="0"/>
        <w:jc w:val="both"/>
      </w:pP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(3) Az Önkormányzat az (1) bekezdés b) pontjában meghatározott ellátást a Somló-környéki Feladatellátó Intézmény (a továbbiakban: intézmény) keretében biztosítja.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hd w:fill="auto" w:val="clear"/>
          <w:lang w:eastAsia="en-US"/>
        </w:rPr>
      </w:r>
    </w:p>
    <w:p>
      <w:pPr>
        <w:pStyle w:val="style0"/>
        <w:spacing w:after="0" w:before="0" w:line="200" w:lineRule="atLeast"/>
        <w:ind w:hanging="341" w:left="355" w:right="0"/>
        <w:contextualSpacing w:val="false"/>
        <w:jc w:val="both"/>
      </w:pPr>
      <w:r>
        <w:rPr/>
      </w:r>
    </w:p>
    <w:p>
      <w:pPr>
        <w:pStyle w:val="style0"/>
        <w:spacing w:after="0" w:before="0" w:line="200" w:lineRule="atLeast"/>
        <w:ind w:hanging="341" w:left="355" w:right="0"/>
        <w:contextualSpacing w:val="false"/>
        <w:jc w:val="both"/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hd w:fill="auto" w:val="clear"/>
          <w:lang w:eastAsia="en-US"/>
        </w:rPr>
        <w:t xml:space="preserve">13. § </w:t>
      </w:r>
      <w:r>
        <w:rPr>
          <w:rFonts w:ascii="Times New Roman" w:cs="Times New Roman" w:hAnsi="Times New Roman"/>
          <w:sz w:val="24"/>
          <w:szCs w:val="24"/>
        </w:rPr>
        <w:t>(1)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Az </w:t>
      </w:r>
      <w:r>
        <w:rPr>
          <w:rFonts w:ascii="Times New Roman" w:cs="Times New Roman" w:hAnsi="Times New Roman"/>
          <w:sz w:val="24"/>
          <w:szCs w:val="24"/>
        </w:rPr>
        <w:t>Önkormányzat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Szt.-ben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foglaltak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alapján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szociális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étkeztetés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keretében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legalább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napi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egyszeri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meleg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ételt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biztosít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azoknak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szociálisan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rászorultaknak,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akik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önmaguk,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illetve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eltartottjaik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részére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tartósan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vagy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átmeneti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jelleggel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képesek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biztosítani.</w:t>
      </w:r>
    </w:p>
    <w:p>
      <w:pPr>
        <w:pStyle w:val="style0"/>
        <w:spacing w:after="0" w:before="0" w:line="200" w:lineRule="atLeast"/>
        <w:ind w:hanging="426" w:left="426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eastAsia="en-US"/>
        </w:rPr>
      </w:r>
    </w:p>
    <w:p>
      <w:pPr>
        <w:pStyle w:val="style0"/>
        <w:spacing w:after="0" w:before="0" w:line="200" w:lineRule="atLeast"/>
        <w:ind w:hanging="426" w:left="426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eastAsia="en-US"/>
        </w:rPr>
        <w:t>(2)  Az Önkormányzat térítésmentesen biztosítja az ebéd kiszállítását az igénylő lakására.</w:t>
      </w:r>
    </w:p>
    <w:p>
      <w:pPr>
        <w:pStyle w:val="style0"/>
        <w:spacing w:after="0" w:before="0" w:line="200" w:lineRule="atLeast"/>
        <w:ind w:hanging="426" w:left="426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eastAsia="en-US"/>
        </w:rPr>
      </w:r>
    </w:p>
    <w:p>
      <w:pPr>
        <w:pStyle w:val="style23"/>
        <w:ind w:hanging="426" w:left="426" w:right="0"/>
      </w:pPr>
      <w:r>
        <w:rPr>
          <w:rFonts w:ascii="Times New Roman" w:cs="Times New Roman" w:hAnsi="Times New Roman"/>
          <w:sz w:val="24"/>
          <w:szCs w:val="24"/>
        </w:rPr>
        <w:t>(3)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Szociálisan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rászorultnak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kell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tekintetni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személyt,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akinek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életkora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elérte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vagy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meghaladja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65.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évet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egészségi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állapota,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fogyatékossága,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pszichiátriai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betegsége,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szenvedélybetegsége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vagy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hajléktalansága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miatt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étkezéséről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más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módon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gondoskodni.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23"/>
        <w:ind w:hanging="426" w:left="426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3"/>
        <w:ind w:hanging="426" w:left="426" w:right="0"/>
      </w:pPr>
      <w:r>
        <w:rPr>
          <w:rFonts w:ascii="Times New Roman" w:cs="Times New Roman" w:hAnsi="Times New Roman"/>
          <w:sz w:val="24"/>
          <w:szCs w:val="24"/>
        </w:rPr>
        <w:t>(4)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Szociálisan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rászorultnak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kell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tekinteni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is,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(3)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bekezdésben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foglalt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életkort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érte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háziorvos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által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kiállított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igazolás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alapján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megállapítható,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hogy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önmaga,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illetve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eltartottjai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részére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tartósan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vagy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átmeneti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jelleggel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biztosítani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legalább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napi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egyszeri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meleg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étkezést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egészségi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állapota,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fogyatékossága,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pszichiátriai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betegsége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vagy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szenvedélybetegsége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alapján.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3"/>
        <w:ind w:hanging="426" w:left="426" w:right="0"/>
      </w:pPr>
      <w:r>
        <w:rPr>
          <w:rFonts w:ascii="Times New Roman" w:cs="Times New Roman" w:hAnsi="Times New Roman"/>
          <w:sz w:val="24"/>
          <w:szCs w:val="24"/>
        </w:rPr>
        <w:t>(5)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szociális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rászorultság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feltételeinek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fennállását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háziorvosi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igazolással,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javaslattal,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személyazonosító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igazolvánnyal,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vagy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lakcímigazolvánnyal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kell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igazolni.</w:t>
      </w:r>
    </w:p>
    <w:p>
      <w:pPr>
        <w:pStyle w:val="style0"/>
        <w:spacing w:after="0" w:before="0" w:line="200" w:lineRule="atLeast"/>
        <w:ind w:hanging="426" w:left="426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eastAsia="en-US"/>
        </w:rPr>
      </w:r>
    </w:p>
    <w:p>
      <w:pPr>
        <w:pStyle w:val="style23"/>
        <w:ind w:hanging="426" w:left="426" w:right="0"/>
      </w:pPr>
      <w:r>
        <w:rPr>
          <w:rFonts w:ascii="Times New Roman" w:cs="Times New Roman" w:hAnsi="Times New Roman"/>
          <w:sz w:val="24"/>
          <w:szCs w:val="24"/>
        </w:rPr>
        <w:t>(6)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részesülhet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szociális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étkeztetésben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aki:</w:t>
      </w:r>
    </w:p>
    <w:p>
      <w:pPr>
        <w:pStyle w:val="style23"/>
        <w:ind w:hanging="0" w:left="426" w:right="0"/>
      </w:pPr>
      <w:r>
        <w:rPr>
          <w:rFonts w:ascii="Times New Roman" w:cs="Times New Roman" w:hAnsi="Times New Roman"/>
          <w:sz w:val="24"/>
          <w:szCs w:val="24"/>
        </w:rPr>
        <w:t>a)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után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ápolási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díjat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állapítottak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meg,</w:t>
      </w:r>
    </w:p>
    <w:p>
      <w:pPr>
        <w:pStyle w:val="style23"/>
        <w:ind w:hanging="0" w:left="426" w:right="0"/>
      </w:pPr>
      <w:r>
        <w:rPr>
          <w:rFonts w:ascii="Times New Roman" w:cs="Times New Roman" w:hAnsi="Times New Roman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ápolási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díjban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részesül,</w:t>
      </w:r>
    </w:p>
    <w:p>
      <w:pPr>
        <w:pStyle w:val="style23"/>
        <w:spacing w:after="0" w:before="0" w:line="200" w:lineRule="atLeast"/>
        <w:ind w:hanging="0" w:left="426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c)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érvényes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tartási,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öröklési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vagy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életjáradéki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szerződéssel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rendelkezik.</w:t>
      </w:r>
    </w:p>
    <w:p>
      <w:pPr>
        <w:pStyle w:val="style23"/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(7) Az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étkeztetés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iránti k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érelem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benyújtásának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helye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a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Devecseri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Közös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Önkormányzati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Hivatal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Noszlopi Kirendeltség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(Noszlop, Dózsa Gy. u. 45.).</w:t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/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(8) Az étkeztetés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intézményi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térítési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díjának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mértékét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Önkormányzat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évente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külön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rendeletben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határozza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meg.</w:t>
      </w:r>
    </w:p>
    <w:p>
      <w:pPr>
        <w:pStyle w:val="style23"/>
        <w:spacing w:after="0" w:before="0" w:line="200" w:lineRule="atLeast"/>
        <w:ind w:hanging="0" w:left="0" w:right="0"/>
        <w:contextualSpacing w:val="false"/>
        <w:jc w:val="both"/>
      </w:pPr>
      <w:r>
        <w:rPr/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(9) Étkeztetés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esetén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ellátásban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részesülővel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polgármester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köt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megállapodást.</w:t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/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(10) Az étkeztetésért személyi térítési díjat kell fizetni.</w:t>
      </w:r>
    </w:p>
    <w:p>
      <w:pPr>
        <w:pStyle w:val="style0"/>
        <w:spacing w:after="0" w:before="0" w:line="200" w:lineRule="atLeast"/>
        <w:ind w:hanging="362" w:left="355" w:right="0"/>
        <w:contextualSpacing w:val="false"/>
        <w:jc w:val="both"/>
      </w:pPr>
      <w:r>
        <w:rPr/>
      </w:r>
    </w:p>
    <w:p>
      <w:pPr>
        <w:pStyle w:val="style0"/>
        <w:spacing w:after="0" w:before="0" w:line="200" w:lineRule="atLeast"/>
        <w:ind w:hanging="362" w:left="355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(11) A személyi térítési díjat az intézményi térítési díjról szóló helyi rendeletre figyelemmel, az Szt., valamint a végrehajtására kiadott rendeletekben foglaltak szerint kell megállapítani és felülvizsgálni.</w:t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/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(12) A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személyi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térítési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díjat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ellátást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igénybe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vevő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jogosult,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vagy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jogosult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tartására,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gondozására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köteles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és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képes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személy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köteles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egy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összegben,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készpénzben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megfizetni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havonta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utólag,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tárgyhónapot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követő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hónap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napjáig.</w:t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/>
      </w:r>
    </w:p>
    <w:p>
      <w:pPr>
        <w:pStyle w:val="style23"/>
        <w:suppressAutoHyphens w:val="false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  <w:t>(13)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új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személyi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térítési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díjat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felülvizsgálatot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követő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hónap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napjától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kell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megfizetni.</w:t>
      </w:r>
    </w:p>
    <w:p>
      <w:pPr>
        <w:pStyle w:val="style23"/>
        <w:suppressAutoHyphens w:val="false"/>
        <w:ind w:hanging="0" w:left="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3"/>
        <w:spacing w:after="0" w:before="0" w:line="200" w:lineRule="atLeast"/>
        <w:ind w:hanging="341" w:left="355" w:right="0"/>
        <w:contextualSpacing w:val="false"/>
        <w:jc w:val="both"/>
      </w:pP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(14)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intézményi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térítési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díj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összegéről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lakosságot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tájékoztatni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 w:val="false"/>
          <w:iCs w:val="false"/>
          <w:sz w:val="24"/>
          <w:szCs w:val="24"/>
        </w:rPr>
        <w:t>kell.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14. § Az Önkormányzat az Szt. 63. § (9) bekezdésében meghatározott személyeknek biztosítja a házi segítségnyújtást az intézményen keresztül. A házi segítségnyújtás módját, formáját, gyakoriságát, személyi térítési díját az intézmény határozza meg az Szt., valamint a végrehajtására kiadott kormányrendeletekben, miniszteri rendeletekben és önkormányzati rendeletben foglaltakra figyelemmel.”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>§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(1) </w:t>
      </w:r>
      <w:r>
        <w:rPr>
          <w:rFonts w:ascii="Times New Roman" w:cs="Times New Roman" w:hAnsi="Times New Roman"/>
          <w:sz w:val="24"/>
          <w:szCs w:val="24"/>
        </w:rPr>
        <w:t>Ez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rendelet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január </w:t>
      </w: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napján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lép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hatályba.</w:t>
      </w:r>
    </w:p>
    <w:p>
      <w:pPr>
        <w:pStyle w:val="style0"/>
        <w:ind w:hanging="426" w:left="426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</w:r>
    </w:p>
    <w:p>
      <w:pPr>
        <w:pStyle w:val="style0"/>
        <w:ind w:hanging="426" w:left="426" w:right="0"/>
        <w:jc w:val="both"/>
      </w:pPr>
      <w:r>
        <w:rPr>
          <w:rFonts w:ascii="Times New Roman" w:cs="Times New Roman" w:eastAsia="Times New Roman" w:hAnsi="Times New Roman"/>
          <w:b w:val="false"/>
          <w:bCs/>
          <w:i w:val="false"/>
          <w:iCs w:val="false"/>
          <w:sz w:val="24"/>
          <w:szCs w:val="24"/>
        </w:rPr>
        <w:t>(2) Hatályát veszti a rendelet 15-18. §-a.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ab/>
        <w:t xml:space="preserve">       Dániel Ferenc</w:t>
        <w:tab/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Bendes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István</w:t>
      </w:r>
    </w:p>
    <w:p>
      <w:pPr>
        <w:pStyle w:val="style0"/>
        <w:ind w:hanging="0" w:left="-14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ab/>
        <w:t xml:space="preserve">               polgármester</w:t>
        <w:tab/>
        <w:tab/>
        <w:tab/>
        <w:tab/>
        <w:t xml:space="preserve">                                                        jegyző</w:t>
      </w:r>
    </w:p>
    <w:sectPr>
      <w:headerReference r:id="rId2" w:type="default"/>
      <w:footerReference r:id="rId3" w:type="default"/>
      <w:type w:val="nextPage"/>
      <w:pgSz w:h="16838" w:w="11906"/>
      <w:pgMar w:bottom="1247" w:footer="720" w:gutter="0" w:header="720" w:left="1417" w:right="1415" w:top="124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paragraph">
    <w:name w:val="Címsor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Szövegtörzs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Felirat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Tárgymutató"/>
    <w:basedOn w:val="style0"/>
    <w:next w:val="style21"/>
    <w:pPr>
      <w:suppressLineNumbers/>
    </w:pPr>
    <w:rPr>
      <w:rFonts w:cs="Mangal"/>
    </w:rPr>
  </w:style>
  <w:style w:styleId="style22" w:type="paragraph">
    <w:name w:val="Szövegtörzs 2"/>
    <w:basedOn w:val="style0"/>
    <w:next w:val="style22"/>
    <w:pPr>
      <w:spacing w:after="0" w:before="360"/>
      <w:contextualSpacing w:val="false"/>
    </w:pPr>
    <w:rPr>
      <w:sz w:val="28"/>
    </w:rPr>
  </w:style>
  <w:style w:styleId="style23" w:type="paragraph">
    <w:name w:val="bekezdés szövege"/>
    <w:basedOn w:val="style0"/>
    <w:next w:val="style23"/>
    <w:pPr>
      <w:ind w:hanging="357" w:left="357" w:right="0"/>
      <w:jc w:val="both"/>
    </w:pPr>
    <w:rPr>
      <w:szCs w:val="20"/>
    </w:rPr>
  </w:style>
  <w:style w:styleId="style24" w:type="paragraph">
    <w:name w:val="Élőláb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Élőfej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2015-12-18T11:34:53.00Z</dcterms:created>
  <cp:lastPrinted>2015-12-22T09:07:00.00Z</cp:lastPrinted>
  <cp:revision>0</cp:revision>
</cp:coreProperties>
</file>