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689610" cy="76962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962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/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április 28-án </w:t>
      </w:r>
      <w:r>
        <w:rPr>
          <w:rFonts w:cs="Times New Roman"/>
          <w:b/>
        </w:rPr>
        <w:t>(péntek)</w:t>
      </w:r>
      <w:r>
        <w:rPr>
          <w:rFonts w:eastAsia="Times New Roman" w:cs="Times New Roman"/>
          <w:b/>
        </w:rPr>
        <w:t xml:space="preserve"> 15</w:t>
      </w:r>
      <w:r>
        <w:rPr>
          <w:rFonts w:cs="Times New Roman"/>
          <w:b/>
          <w:u w:val="single"/>
          <w:vertAlign w:val="superscript"/>
        </w:rPr>
        <w:t>30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</w:r>
      <w:r>
        <w:rPr>
          <w:b/>
          <w:bCs/>
        </w:rPr>
        <w:t>Előadó: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ind w:left="0" w:right="57" w:hanging="0"/>
              <w:jc w:val="both"/>
              <w:rPr>
                <w:rFonts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/>
                <w:bCs/>
                <w:spacing w:val="-10"/>
              </w:rPr>
              <w:t>Telek értékesítés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trHeight w:val="757" w:hRule="atLeast"/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ind w:left="0" w:right="57" w:hanging="0"/>
              <w:jc w:val="both"/>
              <w:rPr/>
            </w:pPr>
            <w:r>
              <w:rPr/>
              <w:t>A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víziközmű-vagyon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tulajdonviszonyainak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rendezése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jc w:val="both"/>
              <w:rPr/>
            </w:pPr>
            <w:r>
              <w:rPr>
                <w:rFonts w:cs="Times New Roman"/>
              </w:rPr>
              <w:t>Vegyes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április 24.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Cambria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;Cambri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;Cambri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;Cambria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>Bendes István</cp:lastModifiedBy>
  <cp:lastPrinted>2017-04-26T12:56:00Z</cp:lastPrinted>
  <dcterms:modified xsi:type="dcterms:W3CDTF">2017-04-26T07:30:00Z</dcterms:modified>
  <cp:revision>2</cp:revision>
  <dc:subject/>
  <dc:title/>
</cp:coreProperties>
</file>