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5945" cy="2060575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5440" cy="2059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25pt;height:162.1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február 4-én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február 11-én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február 18-án 8.00 - 12.00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Zirci Közös Önkormányzati Hivatal,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Zirc, Március 15. tér 1. emeleti kis tárgyaló terem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left"/>
        <w:outlineLvl w:val="0"/>
        <w:rPr>
          <w:u w:val="none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u w:val="none"/>
          <w:shd w:fill="F9F9F9" w:val="clear"/>
        </w:rPr>
        <w:t>2019. február 27-én 9:00 - 13:00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4615" cy="2667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2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05pt;margin-top:0.05pt;width:7.35pt;height:2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LibreOffice/5.1.1.3$Windows_x86 LibreOffice_project/89f508ef3ecebd2cfb8e1def0f0ba9a803b88a6d</Application>
  <Pages>1</Pages>
  <Words>129</Words>
  <Characters>901</Characters>
  <CharactersWithSpaces>1023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2019-01-22T08:44:35Z</dcterms:modified>
  <cp:revision>20</cp:revision>
  <dc:subject/>
  <dc:title>                                            </dc:title>
</cp:coreProperties>
</file>